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DC29" w14:textId="4EA00AF9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CE6FBA">
        <w:rPr>
          <w:rFonts w:ascii="Times New Roman" w:hAnsi="Times New Roman" w:cs="Times New Roman"/>
          <w:b/>
          <w:sz w:val="24"/>
          <w:szCs w:val="28"/>
        </w:rPr>
        <w:t>Приложени</w:t>
      </w:r>
      <w:r w:rsidR="00B64598">
        <w:rPr>
          <w:rFonts w:ascii="Times New Roman" w:hAnsi="Times New Roman" w:cs="Times New Roman"/>
          <w:b/>
          <w:sz w:val="24"/>
          <w:szCs w:val="28"/>
        </w:rPr>
        <w:t>я</w:t>
      </w:r>
      <w:r w:rsidRPr="00CE6FBA">
        <w:rPr>
          <w:rFonts w:ascii="Times New Roman" w:hAnsi="Times New Roman" w:cs="Times New Roman"/>
          <w:b/>
          <w:sz w:val="24"/>
          <w:szCs w:val="28"/>
        </w:rPr>
        <w:t xml:space="preserve"> к статье:</w:t>
      </w:r>
    </w:p>
    <w:p w14:paraId="031820D8" w14:textId="599D264E" w:rsidR="00CE6FBA" w:rsidRPr="004262AE" w:rsidRDefault="004262AE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trike/>
          <w:sz w:val="24"/>
          <w:szCs w:val="24"/>
        </w:rPr>
      </w:pPr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Гребенникова Т.В., Зайкова О.Н., Плотников А.А., Костина Л.В., </w:t>
      </w:r>
      <w:proofErr w:type="spellStart"/>
      <w:r w:rsidRPr="007B4347">
        <w:rPr>
          <w:rFonts w:ascii="Times New Roman" w:eastAsia="Calibri" w:hAnsi="Times New Roman" w:cs="Times New Roman"/>
          <w:sz w:val="24"/>
          <w:szCs w:val="24"/>
        </w:rPr>
        <w:t>Чернорыж</w:t>
      </w:r>
      <w:proofErr w:type="spellEnd"/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 Я.Ю., Елисеева О.В., Латышев О.Е., Ларичев В.Ф., Федякина И.Т., </w:t>
      </w:r>
      <w:proofErr w:type="spellStart"/>
      <w:r w:rsidRPr="007B4347">
        <w:rPr>
          <w:rFonts w:ascii="Times New Roman" w:eastAsia="Calibri" w:hAnsi="Times New Roman" w:cs="Times New Roman"/>
          <w:sz w:val="24"/>
          <w:szCs w:val="24"/>
        </w:rPr>
        <w:t>Лосич</w:t>
      </w:r>
      <w:proofErr w:type="spellEnd"/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 М.А., Кириллов И.М., Филатов И.Е., Баландина М.В., </w:t>
      </w:r>
      <w:proofErr w:type="spellStart"/>
      <w:r w:rsidRPr="007B4347">
        <w:rPr>
          <w:rFonts w:ascii="Times New Roman" w:eastAsia="Calibri" w:hAnsi="Times New Roman" w:cs="Times New Roman"/>
          <w:sz w:val="24"/>
          <w:szCs w:val="24"/>
        </w:rPr>
        <w:t>Цибезов</w:t>
      </w:r>
      <w:proofErr w:type="spellEnd"/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 В.В., Юрлов К.И., </w:t>
      </w:r>
      <w:proofErr w:type="spellStart"/>
      <w:r w:rsidRPr="007B4347">
        <w:rPr>
          <w:rFonts w:ascii="Times New Roman" w:eastAsia="Calibri" w:hAnsi="Times New Roman" w:cs="Times New Roman"/>
          <w:sz w:val="24"/>
          <w:szCs w:val="24"/>
        </w:rPr>
        <w:t>Леснова</w:t>
      </w:r>
      <w:proofErr w:type="spellEnd"/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 Е.И., Кондратьева В.М., Козлова А.А., Баранец М.С., </w:t>
      </w:r>
      <w:proofErr w:type="spellStart"/>
      <w:r w:rsidRPr="007B4347">
        <w:rPr>
          <w:rFonts w:ascii="Times New Roman" w:eastAsia="Calibri" w:hAnsi="Times New Roman" w:cs="Times New Roman"/>
          <w:sz w:val="24"/>
          <w:szCs w:val="24"/>
        </w:rPr>
        <w:t>Гинцбург</w:t>
      </w:r>
      <w:proofErr w:type="spellEnd"/>
      <w:r w:rsidRPr="007B4347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7B4347">
        <w:rPr>
          <w:rFonts w:ascii="Times New Roman" w:hAnsi="Times New Roman" w:cs="Times New Roman"/>
          <w:sz w:val="24"/>
          <w:szCs w:val="28"/>
        </w:rPr>
        <w:t xml:space="preserve"> </w:t>
      </w:r>
      <w:r w:rsidRPr="007B4347">
        <w:rPr>
          <w:rFonts w:ascii="Times New Roman" w:eastAsia="Times New Roman" w:hAnsi="Times New Roman" w:cs="Times New Roman"/>
          <w:sz w:val="24"/>
          <w:szCs w:val="28"/>
        </w:rPr>
        <w:t xml:space="preserve">Исследование безопасности и иммуногенности вакцины для профилактики COVID-19 на основе </w:t>
      </w:r>
      <w:r w:rsidRPr="007B4347">
        <w:rPr>
          <w:rFonts w:ascii="Times New Roman" w:hAnsi="Times New Roman" w:cs="Times New Roman"/>
          <w:sz w:val="24"/>
          <w:szCs w:val="28"/>
        </w:rPr>
        <w:t>вирусоподобных частиц</w:t>
      </w:r>
      <w:r w:rsidRPr="007B4347">
        <w:rPr>
          <w:rFonts w:ascii="Times New Roman" w:eastAsia="Times New Roman" w:hAnsi="Times New Roman" w:cs="Times New Roman"/>
          <w:sz w:val="24"/>
          <w:szCs w:val="28"/>
        </w:rPr>
        <w:t xml:space="preserve"> в рамках </w:t>
      </w:r>
      <w:r w:rsidRPr="007B4347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Pr="007B4347">
        <w:rPr>
          <w:rFonts w:ascii="Times New Roman" w:eastAsia="Times New Roman" w:hAnsi="Times New Roman" w:cs="Times New Roman"/>
          <w:sz w:val="24"/>
          <w:szCs w:val="28"/>
        </w:rPr>
        <w:t xml:space="preserve"> фазы клинических испытани</w:t>
      </w:r>
      <w:r w:rsidRPr="004262AE"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4262A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4262AE">
        <w:rPr>
          <w:rFonts w:ascii="Times New Roman" w:hAnsi="Times New Roman" w:cs="Times New Roman"/>
          <w:i/>
          <w:iCs/>
          <w:sz w:val="24"/>
          <w:szCs w:val="24"/>
        </w:rPr>
        <w:t>Журнал микробиологии, эпидемиологии и иммунобиологии.</w:t>
      </w:r>
      <w:r w:rsidRPr="004262AE">
        <w:rPr>
          <w:rFonts w:ascii="Times New Roman" w:hAnsi="Times New Roman" w:cs="Times New Roman"/>
          <w:sz w:val="24"/>
          <w:szCs w:val="24"/>
        </w:rPr>
        <w:t xml:space="preserve"> </w:t>
      </w:r>
      <w:r w:rsidRPr="004262AE">
        <w:rPr>
          <w:rFonts w:ascii="Times New Roman" w:hAnsi="Times New Roman" w:cs="Times New Roman"/>
          <w:sz w:val="24"/>
          <w:szCs w:val="24"/>
          <w:lang w:val="en-US"/>
        </w:rPr>
        <w:t>2025;102(2):</w:t>
      </w:r>
      <w:r w:rsidRPr="004262AE">
        <w:rPr>
          <w:rFonts w:ascii="Times New Roman" w:hAnsi="Times New Roman" w:cs="Times New Roman"/>
          <w:sz w:val="24"/>
          <w:szCs w:val="24"/>
          <w:lang w:val="en-US"/>
        </w:rPr>
        <w:t>135</w:t>
      </w:r>
      <w:r w:rsidRPr="004262AE">
        <w:rPr>
          <w:rFonts w:ascii="Times New Roman" w:hAnsi="Times New Roman" w:cs="Times New Roman"/>
          <w:sz w:val="24"/>
          <w:szCs w:val="24"/>
        </w:rPr>
        <w:t>–</w:t>
      </w:r>
      <w:r w:rsidRPr="004262AE">
        <w:rPr>
          <w:rFonts w:ascii="Times New Roman" w:hAnsi="Times New Roman" w:cs="Times New Roman"/>
          <w:sz w:val="24"/>
          <w:szCs w:val="24"/>
          <w:lang w:val="en-US"/>
        </w:rPr>
        <w:t>149.</w:t>
      </w:r>
    </w:p>
    <w:p w14:paraId="5D76FABC" w14:textId="77777777" w:rsidR="00B64598" w:rsidRDefault="00B64598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72F55CE" w14:textId="0FD0EF3F" w:rsidR="00B64598" w:rsidRDefault="00B64598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B0D9633" w14:textId="61E45655" w:rsidR="001E17EF" w:rsidRPr="00CE6FBA" w:rsidRDefault="00B64598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включения в исследование</w:t>
      </w:r>
    </w:p>
    <w:p w14:paraId="03480BF5" w14:textId="5C4998F3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 xml:space="preserve">В исследование не включали добровольцев, у которых на </w:t>
      </w:r>
      <w:r w:rsidR="00282136">
        <w:rPr>
          <w:rFonts w:ascii="Times New Roman" w:hAnsi="Times New Roman" w:cs="Times New Roman"/>
          <w:sz w:val="24"/>
          <w:szCs w:val="24"/>
        </w:rPr>
        <w:t>с</w:t>
      </w:r>
      <w:r w:rsidRPr="00CE6FBA">
        <w:rPr>
          <w:rFonts w:ascii="Times New Roman" w:hAnsi="Times New Roman" w:cs="Times New Roman"/>
          <w:sz w:val="24"/>
          <w:szCs w:val="24"/>
        </w:rPr>
        <w:t>крининге методом ПЦР выявлялся SARS-CoV-2; установлено заболевание COVID-19, подтвержд</w:t>
      </w:r>
      <w:r w:rsidR="00B64598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нное </w:t>
      </w:r>
      <w:r w:rsidR="0065109F" w:rsidRPr="00CE6FBA">
        <w:rPr>
          <w:rFonts w:ascii="Times New Roman" w:hAnsi="Times New Roman" w:cs="Times New Roman"/>
          <w:sz w:val="24"/>
          <w:szCs w:val="24"/>
        </w:rPr>
        <w:t>полимеразной цепной реакцией (</w:t>
      </w:r>
      <w:r w:rsidRPr="00CE6FBA">
        <w:rPr>
          <w:rFonts w:ascii="Times New Roman" w:hAnsi="Times New Roman" w:cs="Times New Roman"/>
          <w:sz w:val="24"/>
          <w:szCs w:val="24"/>
        </w:rPr>
        <w:t>ПЦР</w:t>
      </w:r>
      <w:r w:rsidR="0065109F" w:rsidRPr="00CE6FBA">
        <w:rPr>
          <w:rFonts w:ascii="Times New Roman" w:hAnsi="Times New Roman" w:cs="Times New Roman"/>
          <w:sz w:val="24"/>
          <w:szCs w:val="24"/>
        </w:rPr>
        <w:t>)</w:t>
      </w:r>
      <w:r w:rsidRPr="00CE6FBA">
        <w:rPr>
          <w:rFonts w:ascii="Times New Roman" w:hAnsi="Times New Roman" w:cs="Times New Roman"/>
          <w:sz w:val="24"/>
          <w:szCs w:val="24"/>
        </w:rPr>
        <w:t xml:space="preserve"> и/или</w:t>
      </w:r>
      <w:r w:rsidR="00CE6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FBA">
        <w:rPr>
          <w:rFonts w:ascii="Times New Roman" w:hAnsi="Times New Roman" w:cs="Times New Roman"/>
          <w:sz w:val="24"/>
          <w:szCs w:val="24"/>
        </w:rPr>
        <w:t>и</w:t>
      </w:r>
      <w:r w:rsidR="0065109F" w:rsidRPr="00CE6FBA">
        <w:rPr>
          <w:rFonts w:ascii="Times New Roman" w:hAnsi="Times New Roman" w:cs="Times New Roman"/>
          <w:sz w:val="24"/>
          <w:szCs w:val="24"/>
        </w:rPr>
        <w:t>ммунохроматографическим</w:t>
      </w:r>
      <w:proofErr w:type="spellEnd"/>
      <w:r w:rsidR="0065109F" w:rsidRPr="00CE6FBA">
        <w:rPr>
          <w:rFonts w:ascii="Times New Roman" w:hAnsi="Times New Roman" w:cs="Times New Roman"/>
          <w:sz w:val="24"/>
          <w:szCs w:val="24"/>
        </w:rPr>
        <w:t xml:space="preserve"> анализом (</w:t>
      </w:r>
      <w:r w:rsidRPr="00CE6FBA">
        <w:rPr>
          <w:rFonts w:ascii="Times New Roman" w:hAnsi="Times New Roman" w:cs="Times New Roman"/>
          <w:sz w:val="24"/>
          <w:szCs w:val="24"/>
        </w:rPr>
        <w:t>ИХА</w:t>
      </w:r>
      <w:r w:rsidR="0065109F" w:rsidRPr="00CE6FBA">
        <w:rPr>
          <w:rFonts w:ascii="Times New Roman" w:hAnsi="Times New Roman" w:cs="Times New Roman"/>
          <w:sz w:val="24"/>
          <w:szCs w:val="24"/>
        </w:rPr>
        <w:t>)</w:t>
      </w:r>
      <w:r w:rsidRPr="00CE6FBA">
        <w:rPr>
          <w:rFonts w:ascii="Times New Roman" w:hAnsi="Times New Roman" w:cs="Times New Roman"/>
          <w:sz w:val="24"/>
          <w:szCs w:val="24"/>
        </w:rPr>
        <w:t xml:space="preserve"> за последние 6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>; присутствует история контактов с подтвержд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нными или предполагаемыми случаями инфицирования SARS-CoV-2 в течение 7 дней до </w:t>
      </w:r>
      <w:r w:rsidR="004D66CA">
        <w:rPr>
          <w:rFonts w:ascii="Times New Roman" w:hAnsi="Times New Roman" w:cs="Times New Roman"/>
          <w:sz w:val="24"/>
          <w:szCs w:val="24"/>
        </w:rPr>
        <w:t>с</w:t>
      </w:r>
      <w:r w:rsidRPr="00CE6FBA">
        <w:rPr>
          <w:rFonts w:ascii="Times New Roman" w:hAnsi="Times New Roman" w:cs="Times New Roman"/>
          <w:sz w:val="24"/>
          <w:szCs w:val="24"/>
        </w:rPr>
        <w:t xml:space="preserve">крининга. </w:t>
      </w:r>
    </w:p>
    <w:p w14:paraId="7DFF58FE" w14:textId="7CFC6430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>Также в исследование не были включены добровольцы, у которых в анамнезе наблюдались серь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зная поствакцинальная реакция (температура выше 40</w:t>
      </w:r>
      <w:r w:rsidR="004D66CA">
        <w:rPr>
          <w:rFonts w:ascii="Times New Roman" w:hAnsi="Times New Roman" w:cs="Times New Roman"/>
          <w:sz w:val="24"/>
          <w:szCs w:val="24"/>
        </w:rPr>
        <w:t>°</w:t>
      </w:r>
      <w:r w:rsidRPr="00CE6FBA">
        <w:rPr>
          <w:rFonts w:ascii="Times New Roman" w:hAnsi="Times New Roman" w:cs="Times New Roman"/>
          <w:sz w:val="24"/>
          <w:szCs w:val="24"/>
        </w:rPr>
        <w:t>С, гиперемия или от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к более 8 см в диаметре) или осложнение (коллапс или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шокоподобное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состояние, развившиеся в течение 48 ч после вакцинации; судороги, сопровождаемые или не сопровождаемые лихорадочным состоянием) на любую предыдущую вакцинацию; анафилактический шок; от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к Квинке; полиморфная экссудативная экзема; сывороточная болезнь, гиперчувствительность или аллергические реакции на введение каких-либо вакцин; известные аллергические реакции на компоненты вакцины; синдром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Гий</w:t>
      </w:r>
      <w:r w:rsidR="004D66CA">
        <w:rPr>
          <w:rFonts w:ascii="Times New Roman" w:hAnsi="Times New Roman" w:cs="Times New Roman"/>
          <w:sz w:val="24"/>
          <w:szCs w:val="24"/>
        </w:rPr>
        <w:t>е</w:t>
      </w:r>
      <w:r w:rsidRPr="00CE6F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66CA">
        <w:rPr>
          <w:rFonts w:ascii="Times New Roman" w:hAnsi="Times New Roman" w:cs="Times New Roman"/>
          <w:sz w:val="24"/>
          <w:szCs w:val="24"/>
        </w:rPr>
        <w:t>–</w:t>
      </w:r>
      <w:r w:rsidRPr="00CE6FBA">
        <w:rPr>
          <w:rFonts w:ascii="Times New Roman" w:hAnsi="Times New Roman" w:cs="Times New Roman"/>
          <w:sz w:val="24"/>
          <w:szCs w:val="24"/>
        </w:rPr>
        <w:t xml:space="preserve">Барре (острый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полирадикулит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>); на момент вакцинации аксиллярная температура была более 37,0</w:t>
      </w:r>
      <w:r w:rsidR="004D66CA">
        <w:rPr>
          <w:rFonts w:ascii="Times New Roman" w:hAnsi="Times New Roman" w:cs="Times New Roman"/>
          <w:sz w:val="24"/>
          <w:szCs w:val="24"/>
        </w:rPr>
        <w:t>°</w:t>
      </w:r>
      <w:r w:rsidRPr="00CE6FBA">
        <w:rPr>
          <w:rFonts w:ascii="Times New Roman" w:hAnsi="Times New Roman" w:cs="Times New Roman"/>
          <w:sz w:val="24"/>
          <w:szCs w:val="24"/>
        </w:rPr>
        <w:t xml:space="preserve">С; по данным анамнеза присутствовали острые инфекционные заболевания (выздоровление ранее 2 нед до </w:t>
      </w:r>
      <w:r w:rsidR="004D66CA">
        <w:rPr>
          <w:rFonts w:ascii="Times New Roman" w:hAnsi="Times New Roman" w:cs="Times New Roman"/>
          <w:sz w:val="24"/>
          <w:szCs w:val="24"/>
        </w:rPr>
        <w:t>с</w:t>
      </w:r>
      <w:r w:rsidRPr="00CE6FBA">
        <w:rPr>
          <w:rFonts w:ascii="Times New Roman" w:hAnsi="Times New Roman" w:cs="Times New Roman"/>
          <w:sz w:val="24"/>
          <w:szCs w:val="24"/>
        </w:rPr>
        <w:t>крининга); положительный анализ крови на ВИЧ, сифилис, гепатиты B/С; тяж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лые и/или неконтролируемые заболевания сердечно-сосудистой, бронхол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гочной, нейроэндокринной систем, желудочно-кишечного тракта, печени, почек, кроветворной, иммунной систем. В исследование не были включены добровольцы, состоящие на диспансерном уч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те по поводу туберкул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за, лейкоза, онкологических заболеваний, аутоиммунных заболеваний, а также если у них в анамнезе присутствовало любое подтвержд</w:t>
      </w:r>
      <w:r w:rsidR="004D66CA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нное или предполагаемое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иммуносупрессивное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или иммунодефицитное состояние.</w:t>
      </w:r>
    </w:p>
    <w:p w14:paraId="480601CF" w14:textId="1AE6F6B3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 xml:space="preserve">Добровольцы, вакцинированные экспериментальной или зарегистрированной вакциной для профилактики COVID-19, в течение последних 6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; любой вакциной в течение 30 дней до вакцинации / первой дозы исследуемой вакциной или планируемое введение в течение 30 дней после вакцинации / последней дозы исследуемой вакциной; длительно применяющие (более 14 дней) иммунодепрессанты,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иммунорегуляторные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пептиды, цитокины, интерфероны,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белки иммунной системы (иммуноглобулины), индукторы интерферона (циклоферон) в течение </w:t>
      </w:r>
      <w:r w:rsidR="00A81C76">
        <w:rPr>
          <w:rFonts w:ascii="Times New Roman" w:hAnsi="Times New Roman" w:cs="Times New Roman"/>
          <w:sz w:val="24"/>
          <w:szCs w:val="24"/>
        </w:rPr>
        <w:t>6</w:t>
      </w:r>
      <w:r w:rsidRPr="00CE6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, предшествующих исследованию;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(≥ 20 мг преднизолона или аналога в течение более чем 15 дней в течение последнего месяца); получавшие препараты иммуноглобулина или переливание крови в течение последних 3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до начала исследования также не были включены в исследование. </w:t>
      </w:r>
    </w:p>
    <w:p w14:paraId="29804495" w14:textId="29930027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 xml:space="preserve">Кроме того, не были включены добровольцы, участвующие в каком-либо другом клиническом исследовании в течение последних 3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>; принимающие более чем 10 ед. алкоголя в неделю или имеющие анамнестические сведения об алкоголизме, наркомании, злоупотреблении лекарственными препаратами; беременные или кормящие женщины; добровольцы с индексом массы тела менее 18 или более 30 кг/м</w:t>
      </w:r>
      <w:r w:rsidRPr="00CE6F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6FBA">
        <w:rPr>
          <w:rFonts w:ascii="Times New Roman" w:hAnsi="Times New Roman" w:cs="Times New Roman"/>
          <w:sz w:val="24"/>
          <w:szCs w:val="24"/>
        </w:rPr>
        <w:t>.</w:t>
      </w:r>
    </w:p>
    <w:p w14:paraId="38D3CE90" w14:textId="788F1EB1" w:rsidR="001E17EF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 xml:space="preserve">Для ослепления исследуемых образцов использовали метод конверта, в котором находились лейблы с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расслепл</w:t>
      </w:r>
      <w:r w:rsidR="00A81C76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информацией в формате «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рандомизацонный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E6FBA">
        <w:rPr>
          <w:rFonts w:ascii="Times New Roman" w:hAnsi="Times New Roman" w:cs="Times New Roman"/>
          <w:sz w:val="24"/>
          <w:szCs w:val="24"/>
        </w:rPr>
        <w:t xml:space="preserve"> </w:t>
      </w:r>
      <w:r w:rsidR="00CE6FBA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6FBA">
        <w:rPr>
          <w:rFonts w:ascii="Times New Roman" w:hAnsi="Times New Roman" w:cs="Times New Roman"/>
          <w:sz w:val="24"/>
          <w:szCs w:val="24"/>
        </w:rPr>
        <w:t xml:space="preserve">вводимый препарат», согласно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рандомизационному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списку. Хранение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рандомизационных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кодов (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рандомизационного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списка) осуществлялось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расслепл</w:t>
      </w:r>
      <w:r w:rsidR="00A81C76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нными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сотрудниками в месте, исключающем доступ остальных членов проектной команды. После завершения исследования (после последнего визита последнего включ</w:t>
      </w:r>
      <w:r w:rsidR="00A81C76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 xml:space="preserve">нного добровольца) была осуществлена итоговая проверка правильности заполнения </w:t>
      </w:r>
      <w:r w:rsidR="00A81C76" w:rsidRPr="00A81C76">
        <w:rPr>
          <w:rFonts w:ascii="Times New Roman" w:hAnsi="Times New Roman" w:cs="Times New Roman"/>
          <w:sz w:val="24"/>
          <w:szCs w:val="24"/>
        </w:rPr>
        <w:t>электронн</w:t>
      </w:r>
      <w:r w:rsidR="00A81C76">
        <w:rPr>
          <w:rFonts w:ascii="Times New Roman" w:hAnsi="Times New Roman" w:cs="Times New Roman"/>
          <w:sz w:val="24"/>
          <w:szCs w:val="24"/>
        </w:rPr>
        <w:t>ых</w:t>
      </w:r>
      <w:r w:rsidR="00A81C76" w:rsidRPr="00A81C76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81C76">
        <w:rPr>
          <w:rFonts w:ascii="Times New Roman" w:hAnsi="Times New Roman" w:cs="Times New Roman"/>
          <w:sz w:val="24"/>
          <w:szCs w:val="24"/>
        </w:rPr>
        <w:t>ых</w:t>
      </w:r>
      <w:r w:rsidR="00A81C76" w:rsidRPr="00A81C76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A81C76">
        <w:rPr>
          <w:rFonts w:ascii="Times New Roman" w:hAnsi="Times New Roman" w:cs="Times New Roman"/>
          <w:sz w:val="24"/>
          <w:szCs w:val="24"/>
        </w:rPr>
        <w:t>ых</w:t>
      </w:r>
      <w:r w:rsidR="00A81C76" w:rsidRPr="00A81C76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CE6FBA">
        <w:rPr>
          <w:rFonts w:ascii="Times New Roman" w:hAnsi="Times New Roman" w:cs="Times New Roman"/>
          <w:sz w:val="24"/>
          <w:szCs w:val="24"/>
        </w:rPr>
        <w:t xml:space="preserve"> исследователями и статистическая обработка данных, при этом было произведено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расслепление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добровольцев.</w:t>
      </w:r>
    </w:p>
    <w:p w14:paraId="3251C774" w14:textId="77777777" w:rsidR="00B64598" w:rsidRPr="00CE6FBA" w:rsidRDefault="00B64598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34C392" w14:textId="77777777" w:rsidR="00B64598" w:rsidRDefault="00B64598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Hlk196817264"/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30A83A43" w14:textId="1B66D5AE" w:rsidR="001E17EF" w:rsidRPr="00CE6FBA" w:rsidRDefault="001E17EF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6FBA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4D3A6E" w:rsidRPr="00CE6FBA">
        <w:rPr>
          <w:rFonts w:ascii="Times New Roman" w:hAnsi="Times New Roman" w:cs="Times New Roman"/>
          <w:b/>
          <w:sz w:val="24"/>
          <w:szCs w:val="24"/>
        </w:rPr>
        <w:t>переносимости</w:t>
      </w:r>
      <w:r w:rsidR="00EC71B9">
        <w:rPr>
          <w:rFonts w:ascii="Times New Roman" w:hAnsi="Times New Roman" w:cs="Times New Roman"/>
          <w:b/>
          <w:sz w:val="24"/>
          <w:szCs w:val="24"/>
        </w:rPr>
        <w:t>,</w:t>
      </w:r>
      <w:r w:rsidR="004D3A6E" w:rsidRPr="00CE6FBA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Pr="00CE6FBA">
        <w:rPr>
          <w:rFonts w:ascii="Times New Roman" w:hAnsi="Times New Roman" w:cs="Times New Roman"/>
          <w:b/>
          <w:sz w:val="24"/>
          <w:szCs w:val="24"/>
        </w:rPr>
        <w:t xml:space="preserve"> и иммуногенности</w:t>
      </w:r>
    </w:p>
    <w:bookmarkEnd w:id="0"/>
    <w:p w14:paraId="40CFEEE9" w14:textId="4C2B56D5" w:rsidR="004D3A6E" w:rsidRPr="00CE6FBA" w:rsidRDefault="004D3A6E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i/>
          <w:sz w:val="24"/>
          <w:szCs w:val="24"/>
        </w:rPr>
        <w:t>Первичные критерии оценки переносимости и безопасности</w:t>
      </w:r>
      <w:r w:rsidRPr="00CE6FBA">
        <w:rPr>
          <w:rFonts w:ascii="Times New Roman" w:hAnsi="Times New Roman" w:cs="Times New Roman"/>
          <w:sz w:val="24"/>
          <w:szCs w:val="24"/>
        </w:rPr>
        <w:t xml:space="preserve"> препарата включали в себя острые нежелательные явления</w:t>
      </w:r>
      <w:r w:rsidR="0065109F" w:rsidRPr="00CE6FBA">
        <w:rPr>
          <w:rFonts w:ascii="Times New Roman" w:hAnsi="Times New Roman" w:cs="Times New Roman"/>
          <w:sz w:val="24"/>
          <w:szCs w:val="24"/>
        </w:rPr>
        <w:t xml:space="preserve"> (НЯ)</w:t>
      </w:r>
      <w:r w:rsidRPr="00CE6FBA">
        <w:rPr>
          <w:rFonts w:ascii="Times New Roman" w:hAnsi="Times New Roman" w:cs="Times New Roman"/>
          <w:sz w:val="24"/>
          <w:szCs w:val="24"/>
        </w:rPr>
        <w:t>, которые оценивали через 30 мин после введения, местные и системные НЯ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>в течение 10 дней после каждой вакцинации, а также спонтанные НЯ и серь</w:t>
      </w:r>
      <w:r w:rsidR="00A81C76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зные НЯ (приводящие к отмене исследуемого препарата, представляющие особый интерес, включая болезнь, усиленную вакцинами, и летальные исходы)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>в течение 21 дня после каждой вакцинации.</w:t>
      </w:r>
    </w:p>
    <w:p w14:paraId="040D40EE" w14:textId="5E599863" w:rsidR="004D3A6E" w:rsidRPr="00CE6FBA" w:rsidRDefault="004D3A6E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i/>
          <w:sz w:val="24"/>
          <w:szCs w:val="24"/>
        </w:rPr>
        <w:t>Вторичные критерии переносимости и безопасности</w:t>
      </w:r>
      <w:r w:rsidRPr="00CE6FBA">
        <w:rPr>
          <w:rFonts w:ascii="Times New Roman" w:hAnsi="Times New Roman" w:cs="Times New Roman"/>
          <w:sz w:val="24"/>
          <w:szCs w:val="24"/>
        </w:rPr>
        <w:t xml:space="preserve"> включали в себя серь</w:t>
      </w:r>
      <w:r w:rsidR="00A81C76">
        <w:rPr>
          <w:rFonts w:ascii="Times New Roman" w:hAnsi="Times New Roman" w:cs="Times New Roman"/>
          <w:sz w:val="24"/>
          <w:szCs w:val="24"/>
        </w:rPr>
        <w:t>ё</w:t>
      </w:r>
      <w:r w:rsidRPr="00CE6FBA">
        <w:rPr>
          <w:rFonts w:ascii="Times New Roman" w:hAnsi="Times New Roman" w:cs="Times New Roman"/>
          <w:sz w:val="24"/>
          <w:szCs w:val="24"/>
        </w:rPr>
        <w:t>зные НЯ, представляющие особый интерес, включая заболевания, усиленные применением вакцины, и летальные исходы, оценивали с 21</w:t>
      </w:r>
      <w:r w:rsidR="00A81C76">
        <w:rPr>
          <w:rFonts w:ascii="Times New Roman" w:hAnsi="Times New Roman" w:cs="Times New Roman"/>
          <w:sz w:val="24"/>
          <w:szCs w:val="24"/>
        </w:rPr>
        <w:t>-го</w:t>
      </w:r>
      <w:r w:rsidRPr="00CE6FBA">
        <w:rPr>
          <w:rFonts w:ascii="Times New Roman" w:hAnsi="Times New Roman" w:cs="Times New Roman"/>
          <w:sz w:val="24"/>
          <w:szCs w:val="24"/>
        </w:rPr>
        <w:t xml:space="preserve"> дня после </w:t>
      </w:r>
      <w:r w:rsidR="00A81C76">
        <w:rPr>
          <w:rFonts w:ascii="Times New Roman" w:hAnsi="Times New Roman" w:cs="Times New Roman"/>
          <w:sz w:val="24"/>
          <w:szCs w:val="24"/>
        </w:rPr>
        <w:t>2-</w:t>
      </w:r>
      <w:r w:rsidRPr="00CE6FBA">
        <w:rPr>
          <w:rFonts w:ascii="Times New Roman" w:hAnsi="Times New Roman" w:cs="Times New Roman"/>
          <w:sz w:val="24"/>
          <w:szCs w:val="24"/>
        </w:rPr>
        <w:t>й вакцинации до окончания исследования, показатели данных лабораторно-инструментальных методов обследования (клинически значимые отклонения)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 xml:space="preserve">в течение 21 дня после каждой вакцинации, показатели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осмотра и витальных данных (клинически значимые отклонения)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>до окончания исследования.</w:t>
      </w:r>
    </w:p>
    <w:p w14:paraId="0B80AD9A" w14:textId="0AEF36C5" w:rsidR="001E17EF" w:rsidRPr="00CE6FBA" w:rsidRDefault="004D3A6E" w:rsidP="00CE6FB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i/>
          <w:sz w:val="24"/>
          <w:szCs w:val="24"/>
        </w:rPr>
        <w:t>Критерии оценки иммуногенности.</w:t>
      </w:r>
      <w:r w:rsidRPr="00CE6FBA">
        <w:rPr>
          <w:rFonts w:ascii="Times New Roman" w:hAnsi="Times New Roman" w:cs="Times New Roman"/>
          <w:sz w:val="24"/>
          <w:szCs w:val="24"/>
        </w:rPr>
        <w:t xml:space="preserve"> Первичные критерии включали в себя наличие общих антител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IgА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, нейтрализующих антител, а также специфических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CE6FBA">
        <w:rPr>
          <w:rFonts w:ascii="Times New Roman" w:hAnsi="Times New Roman" w:cs="Times New Roman"/>
          <w:sz w:val="24"/>
          <w:szCs w:val="24"/>
        </w:rPr>
        <w:t xml:space="preserve"> к S</w:t>
      </w:r>
      <w:r w:rsidR="005A516C">
        <w:rPr>
          <w:rFonts w:ascii="Times New Roman" w:hAnsi="Times New Roman" w:cs="Times New Roman"/>
          <w:sz w:val="24"/>
          <w:szCs w:val="24"/>
        </w:rPr>
        <w:t>-</w:t>
      </w:r>
      <w:r w:rsidR="005A516C" w:rsidRPr="00CE6FBA">
        <w:rPr>
          <w:rFonts w:ascii="Times New Roman" w:hAnsi="Times New Roman" w:cs="Times New Roman"/>
          <w:sz w:val="24"/>
          <w:szCs w:val="24"/>
        </w:rPr>
        <w:t>белку</w:t>
      </w:r>
      <w:r w:rsidRPr="00CE6FBA">
        <w:rPr>
          <w:rFonts w:ascii="Times New Roman" w:hAnsi="Times New Roman" w:cs="Times New Roman"/>
          <w:sz w:val="24"/>
          <w:szCs w:val="24"/>
        </w:rPr>
        <w:t xml:space="preserve"> SARS-CoV-2 в сыворотке крови через 21 день после </w:t>
      </w:r>
      <w:r w:rsidR="00357F23">
        <w:rPr>
          <w:rFonts w:ascii="Times New Roman" w:hAnsi="Times New Roman" w:cs="Times New Roman"/>
          <w:sz w:val="24"/>
          <w:szCs w:val="24"/>
        </w:rPr>
        <w:t>2-</w:t>
      </w:r>
      <w:r w:rsidRPr="00CE6FBA">
        <w:rPr>
          <w:rFonts w:ascii="Times New Roman" w:hAnsi="Times New Roman" w:cs="Times New Roman"/>
          <w:sz w:val="24"/>
          <w:szCs w:val="24"/>
        </w:rPr>
        <w:t xml:space="preserve">й вакцинации. Вычисляли </w:t>
      </w:r>
      <w:r w:rsidR="00A81C76">
        <w:rPr>
          <w:rFonts w:ascii="Times New Roman" w:hAnsi="Times New Roman" w:cs="Times New Roman"/>
          <w:sz w:val="24"/>
          <w:szCs w:val="24"/>
        </w:rPr>
        <w:t>долю</w:t>
      </w:r>
      <w:r w:rsidRPr="00CE6FBA">
        <w:rPr>
          <w:rFonts w:ascii="Times New Roman" w:hAnsi="Times New Roman" w:cs="Times New Roman"/>
          <w:sz w:val="24"/>
          <w:szCs w:val="24"/>
        </w:rPr>
        <w:t xml:space="preserve"> лиц с наличием антител</w:t>
      </w:r>
      <w:r w:rsidR="00A81C76">
        <w:rPr>
          <w:rFonts w:ascii="Times New Roman" w:hAnsi="Times New Roman" w:cs="Times New Roman"/>
          <w:sz w:val="24"/>
          <w:szCs w:val="24"/>
        </w:rPr>
        <w:t>, в процентах</w:t>
      </w:r>
      <w:r w:rsidRPr="00CE6FBA">
        <w:rPr>
          <w:rFonts w:ascii="Times New Roman" w:hAnsi="Times New Roman" w:cs="Times New Roman"/>
          <w:sz w:val="24"/>
          <w:szCs w:val="24"/>
        </w:rPr>
        <w:t xml:space="preserve"> от общего количества привитых.</w:t>
      </w:r>
    </w:p>
    <w:p w14:paraId="3B49E391" w14:textId="77777777" w:rsidR="00282136" w:rsidRDefault="00282136" w:rsidP="002821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E9D9F" w14:textId="77777777" w:rsidR="00B64598" w:rsidRDefault="00B64598" w:rsidP="002821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629096D4" w14:textId="7127D977" w:rsidR="000C4A56" w:rsidRPr="00CE6FBA" w:rsidRDefault="000C4A56" w:rsidP="002821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FBA">
        <w:rPr>
          <w:rFonts w:ascii="Times New Roman" w:hAnsi="Times New Roman" w:cs="Times New Roman"/>
          <w:b/>
          <w:sz w:val="24"/>
          <w:szCs w:val="24"/>
        </w:rPr>
        <w:t>НЯ, выявленные в ходе исследования (сводные данные)</w:t>
      </w:r>
    </w:p>
    <w:tbl>
      <w:tblPr>
        <w:tblStyle w:val="21"/>
        <w:tblW w:w="951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993"/>
        <w:gridCol w:w="849"/>
        <w:gridCol w:w="709"/>
        <w:gridCol w:w="1133"/>
        <w:gridCol w:w="733"/>
        <w:gridCol w:w="684"/>
        <w:gridCol w:w="1132"/>
        <w:gridCol w:w="592"/>
      </w:tblGrid>
      <w:tr w:rsidR="004262AE" w:rsidRPr="00CE6FBA" w14:paraId="77962A47" w14:textId="40EF5BD6" w:rsidTr="004262AE">
        <w:trPr>
          <w:trHeight w:val="538"/>
          <w:tblHeader/>
        </w:trPr>
        <w:tc>
          <w:tcPr>
            <w:tcW w:w="1980" w:type="dxa"/>
            <w:vMerge w:val="restart"/>
          </w:tcPr>
          <w:p w14:paraId="1EB4B45E" w14:textId="4D45DB21" w:rsidR="004262AE" w:rsidRPr="00F14DA7" w:rsidRDefault="004262AE" w:rsidP="00591D3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bookmarkStart w:id="1" w:name="_Hlk100237081"/>
            <w:r w:rsidRPr="00CE6FBA">
              <w:rPr>
                <w:bCs/>
                <w:sz w:val="24"/>
                <w:szCs w:val="28"/>
              </w:rPr>
              <w:t>Класс системы органов/</w:t>
            </w:r>
            <w:r>
              <w:rPr>
                <w:bCs/>
                <w:sz w:val="24"/>
                <w:szCs w:val="28"/>
              </w:rPr>
              <w:t>п</w:t>
            </w:r>
            <w:r w:rsidRPr="00CE6FBA">
              <w:rPr>
                <w:bCs/>
                <w:sz w:val="24"/>
                <w:szCs w:val="28"/>
              </w:rPr>
              <w:t>редпочтительный термин НЯ</w:t>
            </w:r>
          </w:p>
        </w:tc>
        <w:tc>
          <w:tcPr>
            <w:tcW w:w="2551" w:type="dxa"/>
            <w:gridSpan w:val="3"/>
          </w:tcPr>
          <w:p w14:paraId="3DDD7226" w14:textId="430BEEE0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1-я г</w:t>
            </w:r>
            <w:r w:rsidRPr="00CE6FBA">
              <w:rPr>
                <w:bCs/>
                <w:sz w:val="24"/>
                <w:szCs w:val="28"/>
              </w:rPr>
              <w:t>руппа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EC71B9">
              <w:rPr>
                <w:bCs/>
                <w:sz w:val="24"/>
                <w:szCs w:val="28"/>
              </w:rPr>
              <w:t>(</w:t>
            </w:r>
            <w:r w:rsidRPr="00EC71B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= 60)</w:t>
            </w:r>
          </w:p>
        </w:tc>
        <w:tc>
          <w:tcPr>
            <w:tcW w:w="2575" w:type="dxa"/>
            <w:gridSpan w:val="3"/>
          </w:tcPr>
          <w:p w14:paraId="1EFE064D" w14:textId="08E8C6DD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2-я г</w:t>
            </w:r>
            <w:r w:rsidRPr="00CE6FBA">
              <w:rPr>
                <w:bCs/>
                <w:sz w:val="24"/>
                <w:szCs w:val="28"/>
              </w:rPr>
              <w:t>руппа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EC71B9">
              <w:rPr>
                <w:bCs/>
                <w:sz w:val="24"/>
                <w:szCs w:val="28"/>
              </w:rPr>
              <w:t>(</w:t>
            </w:r>
            <w:r w:rsidRPr="00EC71B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= 60)</w:t>
            </w:r>
          </w:p>
        </w:tc>
        <w:tc>
          <w:tcPr>
            <w:tcW w:w="2408" w:type="dxa"/>
            <w:gridSpan w:val="3"/>
          </w:tcPr>
          <w:p w14:paraId="39A2FA5B" w14:textId="59819C20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3-я г</w:t>
            </w:r>
            <w:r w:rsidRPr="00CE6FBA">
              <w:rPr>
                <w:bCs/>
                <w:sz w:val="24"/>
                <w:szCs w:val="28"/>
              </w:rPr>
              <w:t>руппа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EC71B9">
              <w:rPr>
                <w:bCs/>
                <w:sz w:val="24"/>
                <w:szCs w:val="28"/>
              </w:rPr>
              <w:t>(</w:t>
            </w:r>
            <w:r w:rsidRPr="00EC71B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= 60)</w:t>
            </w:r>
          </w:p>
        </w:tc>
      </w:tr>
      <w:tr w:rsidR="004262AE" w:rsidRPr="00CE6FBA" w14:paraId="1435CE37" w14:textId="3C6B5830" w:rsidTr="004262AE">
        <w:trPr>
          <w:trHeight w:val="794"/>
          <w:tblHeader/>
        </w:trPr>
        <w:tc>
          <w:tcPr>
            <w:tcW w:w="1980" w:type="dxa"/>
            <w:vMerge/>
          </w:tcPr>
          <w:p w14:paraId="6E5C15E6" w14:textId="77777777" w:rsidR="004262AE" w:rsidRPr="00851C69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5DC119E1" w14:textId="18A82E7B" w:rsidR="004262AE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851C6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(%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7019169" w14:textId="78D27E11" w:rsidR="004262AE" w:rsidRPr="00851C69" w:rsidRDefault="004262AE" w:rsidP="004262AE">
            <w:pPr>
              <w:widowControl w:val="0"/>
              <w:suppressAutoHyphens/>
              <w:autoSpaceDE w:val="0"/>
              <w:autoSpaceDN w:val="0"/>
              <w:adjustRightInd w:val="0"/>
              <w:ind w:hanging="43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 xml:space="preserve">95% </w:t>
            </w:r>
            <w:r>
              <w:rPr>
                <w:bCs/>
                <w:sz w:val="24"/>
                <w:szCs w:val="28"/>
              </w:rPr>
              <w:t>ДИ</w:t>
            </w:r>
          </w:p>
        </w:tc>
        <w:tc>
          <w:tcPr>
            <w:tcW w:w="849" w:type="dxa"/>
          </w:tcPr>
          <w:p w14:paraId="4F39305D" w14:textId="10BC20EE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количество НЯ</w:t>
            </w:r>
          </w:p>
        </w:tc>
        <w:tc>
          <w:tcPr>
            <w:tcW w:w="709" w:type="dxa"/>
          </w:tcPr>
          <w:p w14:paraId="540ABA5C" w14:textId="48F25A37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851C6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(%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405ABD4A" w14:textId="147BC46D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 xml:space="preserve">95% </w:t>
            </w:r>
            <w:r>
              <w:rPr>
                <w:bCs/>
                <w:sz w:val="24"/>
                <w:szCs w:val="28"/>
              </w:rPr>
              <w:t>ДИ</w:t>
            </w:r>
          </w:p>
        </w:tc>
        <w:tc>
          <w:tcPr>
            <w:tcW w:w="733" w:type="dxa"/>
          </w:tcPr>
          <w:p w14:paraId="696FE331" w14:textId="6B2B5845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количество НЯ</w:t>
            </w:r>
          </w:p>
        </w:tc>
        <w:tc>
          <w:tcPr>
            <w:tcW w:w="684" w:type="dxa"/>
          </w:tcPr>
          <w:p w14:paraId="3A9C2B4C" w14:textId="4E603371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851C69">
              <w:rPr>
                <w:bCs/>
                <w:i/>
                <w:iCs/>
                <w:sz w:val="24"/>
                <w:szCs w:val="28"/>
                <w:lang w:val="en-US"/>
              </w:rPr>
              <w:t>n</w:t>
            </w:r>
            <w:r w:rsidRPr="00EC71B9">
              <w:rPr>
                <w:bCs/>
                <w:sz w:val="24"/>
                <w:szCs w:val="28"/>
              </w:rPr>
              <w:t xml:space="preserve"> (%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794110C" w14:textId="5BA2500A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 xml:space="preserve">95% </w:t>
            </w:r>
            <w:r>
              <w:rPr>
                <w:bCs/>
                <w:sz w:val="24"/>
                <w:szCs w:val="28"/>
              </w:rPr>
              <w:t>ДИ</w:t>
            </w:r>
          </w:p>
        </w:tc>
        <w:tc>
          <w:tcPr>
            <w:tcW w:w="592" w:type="dxa"/>
          </w:tcPr>
          <w:p w14:paraId="7D230F30" w14:textId="7CE57AB4" w:rsidR="004262AE" w:rsidRPr="00CE6FBA" w:rsidRDefault="004262AE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количество НЯ</w:t>
            </w:r>
          </w:p>
        </w:tc>
      </w:tr>
      <w:tr w:rsidR="00851C69" w:rsidRPr="00CE6FBA" w14:paraId="7BAB2927" w14:textId="450A97E7" w:rsidTr="004262AE">
        <w:trPr>
          <w:trHeight w:val="284"/>
        </w:trPr>
        <w:tc>
          <w:tcPr>
            <w:tcW w:w="1980" w:type="dxa"/>
            <w:shd w:val="clear" w:color="auto" w:fill="D9D9D9"/>
          </w:tcPr>
          <w:p w14:paraId="0C6E5EC4" w14:textId="51488491" w:rsidR="00851C69" w:rsidRPr="004262AE" w:rsidRDefault="00851C69" w:rsidP="00591D30">
            <w:pPr>
              <w:widowControl w:val="0"/>
              <w:suppressAutoHyphens/>
              <w:rPr>
                <w:rFonts w:eastAsia="MS PGothic"/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</w:rPr>
              <w:t>Общие нарушения и реакции в месте введения</w:t>
            </w:r>
          </w:p>
        </w:tc>
        <w:tc>
          <w:tcPr>
            <w:tcW w:w="709" w:type="dxa"/>
            <w:shd w:val="clear" w:color="auto" w:fill="D9D9D9"/>
          </w:tcPr>
          <w:p w14:paraId="01362F51" w14:textId="70303D8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41 (68,3</w:t>
            </w:r>
            <w:r w:rsidR="00591D3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/>
          </w:tcPr>
          <w:p w14:paraId="49063A36" w14:textId="37F253C2" w:rsidR="00851C69" w:rsidRPr="00CE6FBA" w:rsidRDefault="00591D3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55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–79,7</w:t>
            </w:r>
          </w:p>
        </w:tc>
        <w:tc>
          <w:tcPr>
            <w:tcW w:w="849" w:type="dxa"/>
            <w:shd w:val="clear" w:color="auto" w:fill="D9D9D9"/>
          </w:tcPr>
          <w:p w14:paraId="2AA7B9D1" w14:textId="7A5F7EB6" w:rsidR="00851C69" w:rsidRPr="00CE6FBA" w:rsidRDefault="00591D3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111</w:t>
            </w:r>
          </w:p>
        </w:tc>
        <w:tc>
          <w:tcPr>
            <w:tcW w:w="709" w:type="dxa"/>
            <w:shd w:val="clear" w:color="auto" w:fill="D9D9D9"/>
          </w:tcPr>
          <w:p w14:paraId="16C1ED0D" w14:textId="3C04C337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42 (70</w:t>
            </w:r>
            <w:r w:rsidR="00C364C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/>
          </w:tcPr>
          <w:p w14:paraId="062B77F0" w14:textId="78E319E5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56,8–81,2</w:t>
            </w:r>
          </w:p>
        </w:tc>
        <w:tc>
          <w:tcPr>
            <w:tcW w:w="733" w:type="dxa"/>
            <w:shd w:val="clear" w:color="auto" w:fill="D9D9D9"/>
          </w:tcPr>
          <w:p w14:paraId="35561D88" w14:textId="3048850A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137</w:t>
            </w:r>
          </w:p>
        </w:tc>
        <w:tc>
          <w:tcPr>
            <w:tcW w:w="684" w:type="dxa"/>
            <w:shd w:val="clear" w:color="auto" w:fill="D9D9D9"/>
          </w:tcPr>
          <w:p w14:paraId="28AFCF29" w14:textId="569710E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 (28,3</w:t>
            </w:r>
            <w:r w:rsidR="00C364C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/>
          </w:tcPr>
          <w:p w14:paraId="2DDC2895" w14:textId="4F4A017F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17,5–41,4</w:t>
            </w:r>
          </w:p>
        </w:tc>
        <w:tc>
          <w:tcPr>
            <w:tcW w:w="592" w:type="dxa"/>
            <w:shd w:val="clear" w:color="auto" w:fill="D9D9D9"/>
          </w:tcPr>
          <w:p w14:paraId="42724F4F" w14:textId="32E2AC3F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41</w:t>
            </w:r>
          </w:p>
        </w:tc>
      </w:tr>
      <w:tr w:rsidR="00851C69" w:rsidRPr="00CE6FBA" w14:paraId="78746DE1" w14:textId="36597419" w:rsidTr="004262AE">
        <w:trPr>
          <w:trHeight w:val="284"/>
        </w:trPr>
        <w:tc>
          <w:tcPr>
            <w:tcW w:w="1980" w:type="dxa"/>
          </w:tcPr>
          <w:p w14:paraId="47BC090A" w14:textId="66128584" w:rsidR="00851C69" w:rsidRPr="00CE6FBA" w:rsidRDefault="00851C69" w:rsidP="00591D30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Боль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месте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вакцинации</w:t>
            </w:r>
          </w:p>
        </w:tc>
        <w:tc>
          <w:tcPr>
            <w:tcW w:w="709" w:type="dxa"/>
          </w:tcPr>
          <w:p w14:paraId="13B3A512" w14:textId="78F1048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36 (60</w:t>
            </w:r>
            <w:r w:rsidR="00591D3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2E4C949" w14:textId="7F8530F1" w:rsidR="00851C69" w:rsidRPr="00CE6FBA" w:rsidRDefault="00591D3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46,5–72,4</w:t>
            </w:r>
          </w:p>
        </w:tc>
        <w:tc>
          <w:tcPr>
            <w:tcW w:w="849" w:type="dxa"/>
          </w:tcPr>
          <w:p w14:paraId="5C3146AC" w14:textId="5A07F269" w:rsidR="00851C69" w:rsidRPr="00CE6FBA" w:rsidRDefault="00591D3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47</w:t>
            </w:r>
          </w:p>
        </w:tc>
        <w:tc>
          <w:tcPr>
            <w:tcW w:w="709" w:type="dxa"/>
          </w:tcPr>
          <w:p w14:paraId="6DD04E3F" w14:textId="0126B299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38 (63,3</w:t>
            </w:r>
            <w:r w:rsidR="00C364C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6CDD7E7F" w14:textId="1F0FF858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49,9–75,4</w:t>
            </w:r>
          </w:p>
        </w:tc>
        <w:tc>
          <w:tcPr>
            <w:tcW w:w="733" w:type="dxa"/>
          </w:tcPr>
          <w:p w14:paraId="7833419F" w14:textId="0B06C49D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53</w:t>
            </w:r>
          </w:p>
        </w:tc>
        <w:tc>
          <w:tcPr>
            <w:tcW w:w="684" w:type="dxa"/>
          </w:tcPr>
          <w:p w14:paraId="6B56B541" w14:textId="5160EFD6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8 (13,3</w:t>
            </w:r>
            <w:r w:rsidR="00C364C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0FDA617F" w14:textId="17BC28F9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5,9–24,6</w:t>
            </w:r>
          </w:p>
        </w:tc>
        <w:tc>
          <w:tcPr>
            <w:tcW w:w="592" w:type="dxa"/>
          </w:tcPr>
          <w:p w14:paraId="20C7BA3A" w14:textId="7C6F4A1F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</w:p>
        </w:tc>
      </w:tr>
      <w:tr w:rsidR="00851C69" w:rsidRPr="00CE6FBA" w14:paraId="510AEF35" w14:textId="29400010" w:rsidTr="004262AE">
        <w:trPr>
          <w:trHeight w:val="284"/>
        </w:trPr>
        <w:tc>
          <w:tcPr>
            <w:tcW w:w="1980" w:type="dxa"/>
          </w:tcPr>
          <w:p w14:paraId="25A846E7" w14:textId="3FF69AE0" w:rsidR="00851C69" w:rsidRPr="00CE6FBA" w:rsidRDefault="00851C69" w:rsidP="00851C69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Жажда</w:t>
            </w:r>
          </w:p>
        </w:tc>
        <w:tc>
          <w:tcPr>
            <w:tcW w:w="709" w:type="dxa"/>
          </w:tcPr>
          <w:p w14:paraId="43B4D0A1" w14:textId="0833AA4E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6242D141" w14:textId="41193732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3527AAD2" w14:textId="7F67503A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0AB4799F" w14:textId="5C175D4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C364C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72B84C1" w14:textId="0B383A44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23BDF550" w14:textId="071FF07D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48AA8707" w14:textId="027BBC15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39604F9A" w14:textId="5FEB3297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174F3A1C" w14:textId="5D00B734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51C69" w:rsidRPr="00CE6FBA" w14:paraId="0894766A" w14:textId="557504E9" w:rsidTr="004262AE">
        <w:trPr>
          <w:trHeight w:val="284"/>
        </w:trPr>
        <w:tc>
          <w:tcPr>
            <w:tcW w:w="1980" w:type="dxa"/>
          </w:tcPr>
          <w:p w14:paraId="0FC56DFE" w14:textId="72A06CDF" w:rsidR="00851C69" w:rsidRPr="00CE6FBA" w:rsidRDefault="00851C69" w:rsidP="00144EB5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Зуд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месте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вакцинации</w:t>
            </w:r>
          </w:p>
        </w:tc>
        <w:tc>
          <w:tcPr>
            <w:tcW w:w="709" w:type="dxa"/>
          </w:tcPr>
          <w:p w14:paraId="24196CA3" w14:textId="677BEDC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6B1059D" w14:textId="29FE3DAD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66B961C8" w14:textId="63E924BF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7E696800" w14:textId="1DCD314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61BA6C7" w14:textId="74ACF1D0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733" w:type="dxa"/>
          </w:tcPr>
          <w:p w14:paraId="3767DF7C" w14:textId="65B572FA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684" w:type="dxa"/>
          </w:tcPr>
          <w:p w14:paraId="2CC7D072" w14:textId="67A2A589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6165F293" w14:textId="3594D1FE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054A3617" w14:textId="7F812964" w:rsidR="00851C69" w:rsidRPr="00CE6FBA" w:rsidRDefault="00C364C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</w:tr>
      <w:tr w:rsidR="00851C69" w:rsidRPr="00CE6FBA" w14:paraId="56EF9350" w14:textId="0B09C2DC" w:rsidTr="004262AE">
        <w:trPr>
          <w:trHeight w:val="284"/>
        </w:trPr>
        <w:tc>
          <w:tcPr>
            <w:tcW w:w="1980" w:type="dxa"/>
          </w:tcPr>
          <w:p w14:paraId="1669A4D0" w14:textId="0F7D9DA0" w:rsidR="00851C69" w:rsidRPr="00CE6FBA" w:rsidRDefault="00851C69" w:rsidP="00144EB5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Озноб</w:t>
            </w:r>
          </w:p>
        </w:tc>
        <w:tc>
          <w:tcPr>
            <w:tcW w:w="709" w:type="dxa"/>
          </w:tcPr>
          <w:p w14:paraId="6DE487F1" w14:textId="75F29C2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6 (10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B41C550" w14:textId="2B6CD2C9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3,8–20,5</w:t>
            </w:r>
          </w:p>
        </w:tc>
        <w:tc>
          <w:tcPr>
            <w:tcW w:w="849" w:type="dxa"/>
          </w:tcPr>
          <w:p w14:paraId="3BF81F49" w14:textId="185E4FD4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14:paraId="73401438" w14:textId="469DCFB3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11 (18,3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6AFC82F3" w14:textId="086B70D2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9,5–30,4</w:t>
            </w:r>
          </w:p>
        </w:tc>
        <w:tc>
          <w:tcPr>
            <w:tcW w:w="733" w:type="dxa"/>
          </w:tcPr>
          <w:p w14:paraId="30AEC82F" w14:textId="047DB895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684" w:type="dxa"/>
          </w:tcPr>
          <w:p w14:paraId="7C54A94B" w14:textId="5E1049BC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6FA05266" w14:textId="1F3C45CA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592" w:type="dxa"/>
          </w:tcPr>
          <w:p w14:paraId="108535BC" w14:textId="2F35E63D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</w:tr>
      <w:tr w:rsidR="00851C69" w:rsidRPr="00CE6FBA" w14:paraId="7F436312" w14:textId="616B2F88" w:rsidTr="004262AE">
        <w:trPr>
          <w:trHeight w:val="284"/>
        </w:trPr>
        <w:tc>
          <w:tcPr>
            <w:tcW w:w="1980" w:type="dxa"/>
          </w:tcPr>
          <w:p w14:paraId="722A521F" w14:textId="2ADC65C1" w:rsidR="00851C69" w:rsidRPr="00CE6FBA" w:rsidRDefault="00851C69" w:rsidP="00144EB5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От</w:t>
            </w:r>
            <w:r w:rsidR="00144EB5">
              <w:rPr>
                <w:bCs/>
                <w:sz w:val="24"/>
                <w:szCs w:val="28"/>
                <w:lang w:eastAsia="ja-JP"/>
              </w:rPr>
              <w:t>ё</w:t>
            </w:r>
            <w:r w:rsidRPr="00CE6FBA">
              <w:rPr>
                <w:bCs/>
                <w:sz w:val="24"/>
                <w:szCs w:val="28"/>
                <w:lang w:eastAsia="ja-JP"/>
              </w:rPr>
              <w:t>к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месте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вакцинации</w:t>
            </w:r>
          </w:p>
        </w:tc>
        <w:tc>
          <w:tcPr>
            <w:tcW w:w="709" w:type="dxa"/>
          </w:tcPr>
          <w:p w14:paraId="5C9D60C7" w14:textId="288DC21E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37835CE" w14:textId="77795F17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6176C832" w14:textId="1B8D2C89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1C969354" w14:textId="131EB186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825613B" w14:textId="4B307CAD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733" w:type="dxa"/>
          </w:tcPr>
          <w:p w14:paraId="5B6A9520" w14:textId="4F396495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684" w:type="dxa"/>
          </w:tcPr>
          <w:p w14:paraId="579EB99B" w14:textId="47562795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144EB5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54CBF1AC" w14:textId="6FA657CA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680B641F" w14:textId="31E99973" w:rsidR="00851C69" w:rsidRPr="00CE6FBA" w:rsidRDefault="00144EB5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51C69" w:rsidRPr="00CE6FBA" w14:paraId="67A0A244" w14:textId="180CF2CC" w:rsidTr="004262AE">
        <w:trPr>
          <w:trHeight w:val="284"/>
        </w:trPr>
        <w:tc>
          <w:tcPr>
            <w:tcW w:w="1980" w:type="dxa"/>
          </w:tcPr>
          <w:p w14:paraId="4B2F27E1" w14:textId="75C75FEC" w:rsidR="00851C69" w:rsidRPr="00CE6FBA" w:rsidRDefault="00851C69" w:rsidP="00144EB5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Пирексия</w:t>
            </w:r>
            <w:proofErr w:type="spellEnd"/>
          </w:p>
        </w:tc>
        <w:tc>
          <w:tcPr>
            <w:tcW w:w="709" w:type="dxa"/>
          </w:tcPr>
          <w:p w14:paraId="6B19BF7F" w14:textId="54D73DA1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12 (20</w:t>
            </w:r>
            <w:r w:rsidR="00FE277F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2AEF529E" w14:textId="61898828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10,8–32,3</w:t>
            </w:r>
          </w:p>
        </w:tc>
        <w:tc>
          <w:tcPr>
            <w:tcW w:w="849" w:type="dxa"/>
          </w:tcPr>
          <w:p w14:paraId="6707310D" w14:textId="6E91AB60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</w:t>
            </w:r>
          </w:p>
        </w:tc>
        <w:tc>
          <w:tcPr>
            <w:tcW w:w="709" w:type="dxa"/>
          </w:tcPr>
          <w:p w14:paraId="55D46665" w14:textId="32DDEC35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 (23,3</w:t>
            </w:r>
            <w:r w:rsidR="00FE277F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8BBB384" w14:textId="652B4290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13,4–36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733" w:type="dxa"/>
          </w:tcPr>
          <w:p w14:paraId="31EEE6CF" w14:textId="7E108F26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</w:t>
            </w:r>
          </w:p>
        </w:tc>
        <w:tc>
          <w:tcPr>
            <w:tcW w:w="684" w:type="dxa"/>
          </w:tcPr>
          <w:p w14:paraId="506902E3" w14:textId="13F987A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7 (11,7</w:t>
            </w:r>
            <w:r w:rsidR="00FE277F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B3BB4CE" w14:textId="423FCB77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4,8–22,6</w:t>
            </w:r>
          </w:p>
        </w:tc>
        <w:tc>
          <w:tcPr>
            <w:tcW w:w="592" w:type="dxa"/>
          </w:tcPr>
          <w:p w14:paraId="43CB476A" w14:textId="06BB7CAF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</w:tr>
      <w:tr w:rsidR="00851C69" w:rsidRPr="00CE6FBA" w14:paraId="008F1C69" w14:textId="687F7609" w:rsidTr="004262AE">
        <w:trPr>
          <w:trHeight w:val="284"/>
        </w:trPr>
        <w:tc>
          <w:tcPr>
            <w:tcW w:w="1980" w:type="dxa"/>
          </w:tcPr>
          <w:p w14:paraId="187E08CF" w14:textId="51047735" w:rsidR="00144EB5" w:rsidRPr="00CE6FBA" w:rsidRDefault="00851C69" w:rsidP="00144EB5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Распростран</w:t>
            </w:r>
            <w:r w:rsidR="00F01342">
              <w:rPr>
                <w:bCs/>
                <w:sz w:val="24"/>
                <w:szCs w:val="28"/>
                <w:lang w:eastAsia="ja-JP"/>
              </w:rPr>
              <w:t>ё</w:t>
            </w:r>
            <w:r w:rsidRPr="00CE6FBA">
              <w:rPr>
                <w:bCs/>
                <w:sz w:val="24"/>
                <w:szCs w:val="28"/>
                <w:lang w:eastAsia="ja-JP"/>
              </w:rPr>
              <w:t>нный от</w:t>
            </w:r>
            <w:r w:rsidR="00144EB5">
              <w:rPr>
                <w:bCs/>
                <w:sz w:val="24"/>
                <w:szCs w:val="28"/>
                <w:lang w:eastAsia="ja-JP"/>
              </w:rPr>
              <w:t>ё</w:t>
            </w:r>
            <w:r w:rsidRPr="00CE6FBA">
              <w:rPr>
                <w:bCs/>
                <w:sz w:val="24"/>
                <w:szCs w:val="28"/>
                <w:lang w:eastAsia="ja-JP"/>
              </w:rPr>
              <w:t>к</w:t>
            </w:r>
          </w:p>
          <w:p w14:paraId="3624BB93" w14:textId="7CB7C79C" w:rsidR="00851C69" w:rsidRPr="00CE6FBA" w:rsidRDefault="00851C69" w:rsidP="00851C69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</w:p>
        </w:tc>
        <w:tc>
          <w:tcPr>
            <w:tcW w:w="709" w:type="dxa"/>
          </w:tcPr>
          <w:p w14:paraId="3A3CD018" w14:textId="4B618C5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FE277F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72727565" w14:textId="1FFF879B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65B0EE91" w14:textId="64914F57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4A07EC74" w14:textId="18291BEA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75E02E8A" w14:textId="79011FC8" w:rsidR="00851C69" w:rsidRPr="00CE6FBA" w:rsidRDefault="00D46E8D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27543A07" w14:textId="2ADD57F1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2D06FFC6" w14:textId="4423DCDD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45B311D6" w14:textId="2EDCEB05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7CE030E0" w14:textId="6C30E566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51C69" w:rsidRPr="00CE6FBA" w14:paraId="1B27E131" w14:textId="3FBFFA03" w:rsidTr="004262AE">
        <w:trPr>
          <w:trHeight w:val="284"/>
        </w:trPr>
        <w:tc>
          <w:tcPr>
            <w:tcW w:w="1980" w:type="dxa"/>
          </w:tcPr>
          <w:p w14:paraId="27EDC098" w14:textId="08225028" w:rsidR="00851C69" w:rsidRPr="00CE6FBA" w:rsidRDefault="00851C69" w:rsidP="00D46E8D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Уплотнение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месте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вакцинации</w:t>
            </w:r>
          </w:p>
        </w:tc>
        <w:tc>
          <w:tcPr>
            <w:tcW w:w="709" w:type="dxa"/>
          </w:tcPr>
          <w:p w14:paraId="6702497E" w14:textId="4B6C6E8E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FE277F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8A3FAA9" w14:textId="163AC86B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849" w:type="dxa"/>
          </w:tcPr>
          <w:p w14:paraId="262BCEE1" w14:textId="7850B2C0" w:rsidR="00851C69" w:rsidRPr="00CE6FBA" w:rsidRDefault="00FE277F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14:paraId="5DCA46CB" w14:textId="12C0C3C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 (15</w:t>
            </w:r>
            <w:r w:rsidR="00D46E8D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57FE7F29" w14:textId="25C49C88" w:rsidR="00851C69" w:rsidRPr="00CE6FBA" w:rsidRDefault="00D46E8D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7,1–26,6</w:t>
            </w:r>
          </w:p>
        </w:tc>
        <w:tc>
          <w:tcPr>
            <w:tcW w:w="733" w:type="dxa"/>
          </w:tcPr>
          <w:p w14:paraId="531A91F9" w14:textId="7FDF3F93" w:rsidR="00851C69" w:rsidRPr="00CE6FBA" w:rsidRDefault="00D46E8D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684" w:type="dxa"/>
          </w:tcPr>
          <w:p w14:paraId="340ABE00" w14:textId="0CB7C054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3F70B557" w14:textId="005A14EF" w:rsidR="00851C69" w:rsidRPr="00CE6FBA" w:rsidRDefault="00FE277F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42E709A6" w14:textId="5013A777" w:rsidR="00851C69" w:rsidRPr="00CE6FBA" w:rsidRDefault="00D46E8D" w:rsidP="00851C69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51C69" w:rsidRPr="00CE6FBA" w14:paraId="7EBF1705" w14:textId="346A06DD" w:rsidTr="004262AE">
        <w:trPr>
          <w:trHeight w:val="284"/>
        </w:trPr>
        <w:tc>
          <w:tcPr>
            <w:tcW w:w="1980" w:type="dxa"/>
          </w:tcPr>
          <w:p w14:paraId="0DC179B8" w14:textId="2769C9E0" w:rsidR="00851C69" w:rsidRPr="00CE6FBA" w:rsidRDefault="00851C69" w:rsidP="00D46E8D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Усталость</w:t>
            </w:r>
          </w:p>
        </w:tc>
        <w:tc>
          <w:tcPr>
            <w:tcW w:w="709" w:type="dxa"/>
          </w:tcPr>
          <w:p w14:paraId="52673673" w14:textId="33BF7A08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21 (35</w:t>
            </w:r>
            <w:r w:rsidR="00D46E8D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04F99D7" w14:textId="442C6241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23,1–48,4</w:t>
            </w:r>
          </w:p>
        </w:tc>
        <w:tc>
          <w:tcPr>
            <w:tcW w:w="849" w:type="dxa"/>
          </w:tcPr>
          <w:p w14:paraId="6505F655" w14:textId="623B659B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14:paraId="5CA0B2DE" w14:textId="314CAC8B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 (28,3</w:t>
            </w:r>
            <w:r w:rsidR="00D46E8D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7E609A94" w14:textId="12E42D70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17,5–41,4</w:t>
            </w:r>
          </w:p>
        </w:tc>
        <w:tc>
          <w:tcPr>
            <w:tcW w:w="733" w:type="dxa"/>
          </w:tcPr>
          <w:p w14:paraId="7D5ECEC8" w14:textId="09189B33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22</w:t>
            </w:r>
          </w:p>
        </w:tc>
        <w:tc>
          <w:tcPr>
            <w:tcW w:w="684" w:type="dxa"/>
          </w:tcPr>
          <w:p w14:paraId="1BFAC75E" w14:textId="15A4666E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12 (20</w:t>
            </w:r>
            <w:r w:rsidR="00D46E8D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58B0309C" w14:textId="26AAF3C3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10,8–32,3</w:t>
            </w:r>
          </w:p>
        </w:tc>
        <w:tc>
          <w:tcPr>
            <w:tcW w:w="592" w:type="dxa"/>
          </w:tcPr>
          <w:p w14:paraId="629612CA" w14:textId="1B13CE83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</w:t>
            </w:r>
          </w:p>
        </w:tc>
      </w:tr>
      <w:tr w:rsidR="00851C69" w:rsidRPr="00CE6FBA" w14:paraId="7437CB0D" w14:textId="325BCCAA" w:rsidTr="004262AE">
        <w:trPr>
          <w:trHeight w:val="284"/>
        </w:trPr>
        <w:tc>
          <w:tcPr>
            <w:tcW w:w="1980" w:type="dxa"/>
          </w:tcPr>
          <w:p w14:paraId="38431B27" w14:textId="6078C8F6" w:rsidR="00851C69" w:rsidRPr="00CE6FBA" w:rsidRDefault="00851C69" w:rsidP="00D46E8D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Эритема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месте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инъекции</w:t>
            </w:r>
          </w:p>
        </w:tc>
        <w:tc>
          <w:tcPr>
            <w:tcW w:w="709" w:type="dxa"/>
          </w:tcPr>
          <w:p w14:paraId="017568F6" w14:textId="45E5D72F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D46E8D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52E3C38" w14:textId="0307FFAF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849" w:type="dxa"/>
          </w:tcPr>
          <w:p w14:paraId="070BCE95" w14:textId="14C27AEF" w:rsidR="00851C69" w:rsidRPr="00CE6FBA" w:rsidRDefault="00D46E8D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14:paraId="104844EA" w14:textId="258E1AD3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F46B4E2" w14:textId="423ECDC8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733" w:type="dxa"/>
          </w:tcPr>
          <w:p w14:paraId="7B13F499" w14:textId="59B02AC1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684" w:type="dxa"/>
          </w:tcPr>
          <w:p w14:paraId="3F888A8B" w14:textId="1BE5CB2C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5E438E68" w14:textId="78136618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06C76436" w14:textId="28A85B42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51C69" w:rsidRPr="00CE6FBA" w14:paraId="6F7825F2" w14:textId="2A5C25EA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0A3DE532" w14:textId="5922DF3D" w:rsidR="00851C69" w:rsidRPr="00CE6FBA" w:rsidRDefault="00851C69" w:rsidP="00F01342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Лабораторные и инструментальные данные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E5BAD" w14:textId="443F8D0B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24 (40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A1269E3" w14:textId="4E263567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27,6–53,5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1A791E09" w14:textId="69D7B163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5FAB48" w14:textId="63DF5261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19 (31,7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40908C5" w14:textId="4034B31E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20,3–45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562C748" w14:textId="4B522F84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29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7C3A9BCE" w14:textId="51E3046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29 (48,3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038862C8" w14:textId="7BECBE8B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35,2–61,6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2C2741A0" w14:textId="7FF48323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</w:tr>
      <w:tr w:rsidR="00B645AC" w:rsidRPr="00CE6FBA" w14:paraId="134943D5" w14:textId="790D52C4" w:rsidTr="004262AE">
        <w:trPr>
          <w:trHeight w:val="284"/>
        </w:trPr>
        <w:tc>
          <w:tcPr>
            <w:tcW w:w="1980" w:type="dxa"/>
          </w:tcPr>
          <w:p w14:paraId="6F549558" w14:textId="335E0917" w:rsidR="00B645AC" w:rsidRPr="00CE6FBA" w:rsidRDefault="00B645AC" w:rsidP="00B645AC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Глюкоза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моче</w:t>
            </w:r>
          </w:p>
        </w:tc>
        <w:tc>
          <w:tcPr>
            <w:tcW w:w="709" w:type="dxa"/>
          </w:tcPr>
          <w:p w14:paraId="1AF2487B" w14:textId="0AFF09A8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539A20B6" w14:textId="7522286E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1E35B970" w14:textId="3A75E73B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5BD365BB" w14:textId="3D67906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0382DC8C" w14:textId="491C1138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46911181" w14:textId="54CD5B99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57F2A8F9" w14:textId="3D5BE0BB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61952E86" w14:textId="581F58D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0F2D1986" w14:textId="0D2DBBA4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51C69" w:rsidRPr="00CE6FBA" w14:paraId="3C9C65D4" w14:textId="5038E7F2" w:rsidTr="004262AE">
        <w:trPr>
          <w:trHeight w:val="284"/>
        </w:trPr>
        <w:tc>
          <w:tcPr>
            <w:tcW w:w="1980" w:type="dxa"/>
          </w:tcPr>
          <w:p w14:paraId="537FF0F6" w14:textId="6700D80F" w:rsidR="00851C69" w:rsidRPr="00CE6FBA" w:rsidRDefault="00851C69" w:rsidP="00F01342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Наличие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лейкоцитов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моче</w:t>
            </w:r>
          </w:p>
        </w:tc>
        <w:tc>
          <w:tcPr>
            <w:tcW w:w="709" w:type="dxa"/>
          </w:tcPr>
          <w:p w14:paraId="6E4BE69B" w14:textId="3A2CD9B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AD10DE0" w14:textId="05C33320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3E4AA60D" w14:textId="1193E20A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70DAAEF5" w14:textId="2A296852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77CD8CFD" w14:textId="107CBC5B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733" w:type="dxa"/>
          </w:tcPr>
          <w:p w14:paraId="6F2822A7" w14:textId="3120272F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684" w:type="dxa"/>
          </w:tcPr>
          <w:p w14:paraId="1076E784" w14:textId="1B51EDE5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06AA6FB" w14:textId="7B707D44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32270695" w14:textId="653FD6A5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B645AC" w:rsidRPr="00CE6FBA" w14:paraId="30D267C1" w14:textId="1E34498A" w:rsidTr="004262AE">
        <w:trPr>
          <w:trHeight w:val="284"/>
        </w:trPr>
        <w:tc>
          <w:tcPr>
            <w:tcW w:w="1980" w:type="dxa"/>
          </w:tcPr>
          <w:p w14:paraId="041EE01F" w14:textId="266DB0C3" w:rsidR="00B645AC" w:rsidRPr="004262AE" w:rsidRDefault="00B645AC" w:rsidP="00F01342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Отклонение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от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нормы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коагуляционной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пробы</w:t>
            </w:r>
          </w:p>
        </w:tc>
        <w:tc>
          <w:tcPr>
            <w:tcW w:w="709" w:type="dxa"/>
          </w:tcPr>
          <w:p w14:paraId="2F88AA21" w14:textId="0AC724C6" w:rsidR="00B645AC" w:rsidRPr="00CE6FBA" w:rsidRDefault="00B645AC" w:rsidP="00B645AC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157F0FF1" w14:textId="14DA88FD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7F9BE780" w14:textId="1EC60936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28F3758D" w14:textId="471B46C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5041B5E6" w14:textId="7C779E9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5FE15AF7" w14:textId="140C7761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1EF17997" w14:textId="3AA4A017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57D260D6" w14:textId="7925C7AD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56F5EA94" w14:textId="3D4C7A69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</w:tr>
      <w:tr w:rsidR="00B645AC" w:rsidRPr="00CE6FBA" w14:paraId="54030041" w14:textId="3335197E" w:rsidTr="004262AE">
        <w:trPr>
          <w:trHeight w:val="284"/>
        </w:trPr>
        <w:tc>
          <w:tcPr>
            <w:tcW w:w="1980" w:type="dxa"/>
          </w:tcPr>
          <w:p w14:paraId="2E2AD139" w14:textId="7FC62CCC" w:rsidR="00B645AC" w:rsidRPr="00CE6FBA" w:rsidRDefault="00B645AC" w:rsidP="00F01342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уровня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аланинаминотрансферазы</w:t>
            </w:r>
          </w:p>
        </w:tc>
        <w:tc>
          <w:tcPr>
            <w:tcW w:w="709" w:type="dxa"/>
          </w:tcPr>
          <w:p w14:paraId="3BA94496" w14:textId="40016864" w:rsidR="00B645AC" w:rsidRPr="00CE6FBA" w:rsidRDefault="00B645AC" w:rsidP="00B645AC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1BC230EA" w14:textId="110E92C8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5FEDA827" w14:textId="7721BCF3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67B8EFE7" w14:textId="48EEAF71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(1,7%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45389CE" w14:textId="2D7FF3F3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32A30C5D" w14:textId="645A9C41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3CD860B6" w14:textId="6FB63EC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09A34D78" w14:textId="2EF0D571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171FB591" w14:textId="07CD5753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851C69" w:rsidRPr="00CE6FBA" w14:paraId="72B117F0" w14:textId="36853765" w:rsidTr="004262AE">
        <w:trPr>
          <w:trHeight w:val="284"/>
        </w:trPr>
        <w:tc>
          <w:tcPr>
            <w:tcW w:w="1980" w:type="dxa"/>
          </w:tcPr>
          <w:p w14:paraId="7D0C0CCC" w14:textId="70B1907C" w:rsidR="00851C69" w:rsidRPr="00CE6FBA" w:rsidRDefault="00851C69" w:rsidP="00F01342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уровня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аспартатаминотрансферазы</w:t>
            </w:r>
            <w:proofErr w:type="spellEnd"/>
          </w:p>
        </w:tc>
        <w:tc>
          <w:tcPr>
            <w:tcW w:w="709" w:type="dxa"/>
          </w:tcPr>
          <w:p w14:paraId="5253E432" w14:textId="3D694A2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0FB4F9F7" w14:textId="4EB67426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849" w:type="dxa"/>
          </w:tcPr>
          <w:p w14:paraId="5AAA596F" w14:textId="589E7303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77663631" w14:textId="04949C1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49CD4FD0" w14:textId="1DC4C20E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03348133" w14:textId="0B4D7629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84" w:type="dxa"/>
          </w:tcPr>
          <w:p w14:paraId="2739E273" w14:textId="3CCE66C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B645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8509FED" w14:textId="344D9B55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2FAAEE9E" w14:textId="5433C9B5" w:rsidR="00851C69" w:rsidRPr="00CE6FBA" w:rsidRDefault="00B645AC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B645AC" w:rsidRPr="00CE6FBA" w14:paraId="1A8B8C9B" w14:textId="4B90DD78" w:rsidTr="004262AE">
        <w:trPr>
          <w:trHeight w:val="284"/>
        </w:trPr>
        <w:tc>
          <w:tcPr>
            <w:tcW w:w="1980" w:type="dxa"/>
          </w:tcPr>
          <w:p w14:paraId="3111E0A1" w14:textId="02CCA442" w:rsidR="00B645AC" w:rsidRPr="004262AE" w:rsidRDefault="00B645AC" w:rsidP="00F01342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уровня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билирубина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крови</w:t>
            </w:r>
          </w:p>
        </w:tc>
        <w:tc>
          <w:tcPr>
            <w:tcW w:w="709" w:type="dxa"/>
          </w:tcPr>
          <w:p w14:paraId="15E3595B" w14:textId="38EF0CF9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80C3E78" w14:textId="0E6DF9FA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319193D1" w14:textId="3D93C12C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4DE7BBDE" w14:textId="06B91AB9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F14DA7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7994B6A1" w14:textId="67E4D37A" w:rsidR="00B645AC" w:rsidRPr="00CE6FBA" w:rsidRDefault="00F14DA7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7AE650D5" w14:textId="10BA7B62" w:rsidR="00B645AC" w:rsidRPr="00CE6FBA" w:rsidRDefault="00F14DA7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84" w:type="dxa"/>
          </w:tcPr>
          <w:p w14:paraId="4E1F1C3F" w14:textId="58CE71CC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66015736" w14:textId="02F07C2D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0F8D15AB" w14:textId="5ED86E63" w:rsidR="00B645AC" w:rsidRPr="00CE6FBA" w:rsidRDefault="00B645AC" w:rsidP="00B645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F14DA7" w:rsidRPr="00CE6FBA" w14:paraId="61823DB6" w14:textId="32850921" w:rsidTr="004262AE">
        <w:trPr>
          <w:trHeight w:val="284"/>
        </w:trPr>
        <w:tc>
          <w:tcPr>
            <w:tcW w:w="1980" w:type="dxa"/>
          </w:tcPr>
          <w:p w14:paraId="2312DEFD" w14:textId="6508261D" w:rsidR="00F14DA7" w:rsidRPr="00CE6FBA" w:rsidRDefault="00F14DA7" w:rsidP="00F14DA7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 уровня глюкозы в крови</w:t>
            </w:r>
          </w:p>
        </w:tc>
        <w:tc>
          <w:tcPr>
            <w:tcW w:w="709" w:type="dxa"/>
          </w:tcPr>
          <w:p w14:paraId="26015885" w14:textId="3A4227AA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30B72388" w14:textId="16F86772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183AB419" w14:textId="52A54D37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1CAD9A2B" w14:textId="300185A7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04374178" w14:textId="45711CFA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5983DF9B" w14:textId="1F717D56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4B0031C5" w14:textId="1515FEE9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 xml:space="preserve">1 </w:t>
            </w:r>
            <w:r>
              <w:rPr>
                <w:bCs/>
                <w:sz w:val="24"/>
                <w:szCs w:val="28"/>
              </w:rPr>
              <w:t>(</w:t>
            </w:r>
            <w:r w:rsidRPr="00CE6FBA">
              <w:rPr>
                <w:bCs/>
                <w:sz w:val="24"/>
                <w:szCs w:val="28"/>
              </w:rPr>
              <w:t>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00699C9" w14:textId="7345D43B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4BBFFD2" w14:textId="5FE20FE7" w:rsidR="00F14DA7" w:rsidRPr="00CE6FBA" w:rsidRDefault="00F14DA7" w:rsidP="00F14DA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51C69" w:rsidRPr="00CE6FBA" w14:paraId="775F4214" w14:textId="2B51E40C" w:rsidTr="004262AE">
        <w:trPr>
          <w:trHeight w:val="284"/>
        </w:trPr>
        <w:tc>
          <w:tcPr>
            <w:tcW w:w="1980" w:type="dxa"/>
          </w:tcPr>
          <w:p w14:paraId="2AF3BF46" w14:textId="5BB5A5D7" w:rsidR="00851C69" w:rsidRPr="00357F23" w:rsidRDefault="00851C69" w:rsidP="00F14DA7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 уровня иммуноглобулина Е в крови</w:t>
            </w:r>
          </w:p>
        </w:tc>
        <w:tc>
          <w:tcPr>
            <w:tcW w:w="709" w:type="dxa"/>
          </w:tcPr>
          <w:p w14:paraId="63FDB878" w14:textId="46663766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 (23,3</w:t>
            </w:r>
            <w:r w:rsidR="00F14DA7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74336796" w14:textId="66FE9B2A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13,4–36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849" w:type="dxa"/>
          </w:tcPr>
          <w:p w14:paraId="09A421E4" w14:textId="495DC172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</w:t>
            </w:r>
          </w:p>
        </w:tc>
        <w:tc>
          <w:tcPr>
            <w:tcW w:w="709" w:type="dxa"/>
          </w:tcPr>
          <w:p w14:paraId="179ABDD8" w14:textId="5D107EDD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F14DA7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BEA4796" w14:textId="0F0D176B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733" w:type="dxa"/>
          </w:tcPr>
          <w:p w14:paraId="5A77BA44" w14:textId="6D68AD2A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684" w:type="dxa"/>
          </w:tcPr>
          <w:p w14:paraId="2671D0AD" w14:textId="5EE1FF9F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 (25</w:t>
            </w:r>
            <w:r w:rsidR="00F14DA7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6EF7B093" w14:textId="7532D266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14,7–37,9</w:t>
            </w:r>
          </w:p>
        </w:tc>
        <w:tc>
          <w:tcPr>
            <w:tcW w:w="592" w:type="dxa"/>
          </w:tcPr>
          <w:p w14:paraId="7FA66225" w14:textId="1BDACAB8" w:rsidR="00851C69" w:rsidRPr="00CE6FBA" w:rsidRDefault="00F14DA7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</w:t>
            </w:r>
          </w:p>
        </w:tc>
      </w:tr>
      <w:tr w:rsidR="00851C69" w:rsidRPr="00CE6FBA" w14:paraId="6357EC53" w14:textId="2D1011B7" w:rsidTr="004262AE">
        <w:trPr>
          <w:trHeight w:val="284"/>
        </w:trPr>
        <w:tc>
          <w:tcPr>
            <w:tcW w:w="1980" w:type="dxa"/>
          </w:tcPr>
          <w:p w14:paraId="1A5BCD35" w14:textId="398F9338" w:rsidR="00851C69" w:rsidRPr="00CE6FBA" w:rsidRDefault="00851C69" w:rsidP="00F01342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 xml:space="preserve">Повышение уровня </w:t>
            </w: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креатинфосфокиназы</w:t>
            </w:r>
            <w:proofErr w:type="spellEnd"/>
            <w:r w:rsidRPr="00CE6FBA">
              <w:rPr>
                <w:bCs/>
                <w:sz w:val="24"/>
                <w:szCs w:val="28"/>
                <w:lang w:eastAsia="ja-JP"/>
              </w:rPr>
              <w:t xml:space="preserve"> в крови</w:t>
            </w:r>
          </w:p>
        </w:tc>
        <w:tc>
          <w:tcPr>
            <w:tcW w:w="709" w:type="dxa"/>
          </w:tcPr>
          <w:p w14:paraId="4EDC2526" w14:textId="698E17A8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 (15</w:t>
            </w:r>
            <w:r w:rsidR="00F01342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0579466" w14:textId="662A9521" w:rsidR="00851C69" w:rsidRPr="00CE6FBA" w:rsidRDefault="00F01342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7,1–26,6</w:t>
            </w:r>
          </w:p>
        </w:tc>
        <w:tc>
          <w:tcPr>
            <w:tcW w:w="849" w:type="dxa"/>
          </w:tcPr>
          <w:p w14:paraId="505ECDB3" w14:textId="1E811459" w:rsidR="00851C69" w:rsidRPr="00CE6FBA" w:rsidRDefault="00F01342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14:paraId="6E89F3CD" w14:textId="2823D214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6 (10</w:t>
            </w:r>
            <w:r w:rsidR="00F01342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0AA7EC66" w14:textId="478F3024" w:rsidR="00851C69" w:rsidRPr="00CE6FBA" w:rsidRDefault="00F01342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3,8–20,5</w:t>
            </w:r>
          </w:p>
        </w:tc>
        <w:tc>
          <w:tcPr>
            <w:tcW w:w="733" w:type="dxa"/>
          </w:tcPr>
          <w:p w14:paraId="0FCB181F" w14:textId="5B36B49C" w:rsidR="00851C69" w:rsidRPr="00CE6FBA" w:rsidRDefault="00F01342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684" w:type="dxa"/>
          </w:tcPr>
          <w:p w14:paraId="3D5AE6E0" w14:textId="0F6183E0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5F4F6C7" w14:textId="15D5D793" w:rsidR="00851C69" w:rsidRPr="00CE6FBA" w:rsidRDefault="0086308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592" w:type="dxa"/>
          </w:tcPr>
          <w:p w14:paraId="5C845F16" w14:textId="18490DED" w:rsidR="00851C69" w:rsidRPr="00CE6FBA" w:rsidRDefault="00863088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</w:tr>
      <w:tr w:rsidR="00F01342" w:rsidRPr="00CE6FBA" w14:paraId="7588F40C" w14:textId="5D40C561" w:rsidTr="004262AE">
        <w:trPr>
          <w:trHeight w:val="284"/>
        </w:trPr>
        <w:tc>
          <w:tcPr>
            <w:tcW w:w="1980" w:type="dxa"/>
          </w:tcPr>
          <w:p w14:paraId="349EAEDD" w14:textId="235F0B3F" w:rsidR="00F01342" w:rsidRPr="004262AE" w:rsidRDefault="00F01342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уровня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С</w:t>
            </w:r>
            <w:r w:rsidRPr="00851C69">
              <w:rPr>
                <w:bCs/>
                <w:sz w:val="24"/>
                <w:szCs w:val="28"/>
                <w:lang w:eastAsia="ja-JP"/>
              </w:rPr>
              <w:t>-</w:t>
            </w:r>
            <w:r w:rsidRPr="00CE6FBA">
              <w:rPr>
                <w:bCs/>
                <w:sz w:val="24"/>
                <w:szCs w:val="28"/>
                <w:lang w:eastAsia="ja-JP"/>
              </w:rPr>
              <w:t>реактивного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белка</w:t>
            </w:r>
          </w:p>
        </w:tc>
        <w:tc>
          <w:tcPr>
            <w:tcW w:w="709" w:type="dxa"/>
          </w:tcPr>
          <w:p w14:paraId="46A72ECC" w14:textId="21446410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39DF77D9" w14:textId="57BF7B86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6AB8DB59" w14:textId="67F2A8FB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16BB3223" w14:textId="0104AD4B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0601B401" w14:textId="5CC785D5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424C78FD" w14:textId="485A44F0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684" w:type="dxa"/>
          </w:tcPr>
          <w:p w14:paraId="267F1D04" w14:textId="39FD600A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52101506" w14:textId="6A00B91A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592" w:type="dxa"/>
          </w:tcPr>
          <w:p w14:paraId="18E0F3C8" w14:textId="2B0CDAF4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</w:tr>
      <w:tr w:rsidR="00F01342" w:rsidRPr="00CE6FBA" w14:paraId="673D0A94" w14:textId="08F4F575" w:rsidTr="004262AE">
        <w:trPr>
          <w:trHeight w:val="284"/>
        </w:trPr>
        <w:tc>
          <w:tcPr>
            <w:tcW w:w="1980" w:type="dxa"/>
          </w:tcPr>
          <w:p w14:paraId="115982CA" w14:textId="0D30C76B" w:rsidR="00F01342" w:rsidRPr="004262AE" w:rsidRDefault="00F01342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 уровня щелочной фосфатазы в крови</w:t>
            </w:r>
          </w:p>
        </w:tc>
        <w:tc>
          <w:tcPr>
            <w:tcW w:w="709" w:type="dxa"/>
          </w:tcPr>
          <w:p w14:paraId="31FB4AC3" w14:textId="3E29E064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69AEBB1F" w14:textId="7039E3A4" w:rsidR="00F01342" w:rsidRPr="00CE6FBA" w:rsidRDefault="00863088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0335EDE1" w14:textId="2B78D94F" w:rsidR="00F01342" w:rsidRPr="00CE6FBA" w:rsidRDefault="00863088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106FEA58" w14:textId="6771C3F6" w:rsidR="00F01342" w:rsidRPr="00CE6FBA" w:rsidRDefault="00F01342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1E957845" w14:textId="1277A37D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0F5FAFBD" w14:textId="12C7B433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307DDABB" w14:textId="095296E6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362E657" w14:textId="664E01C9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8794D04" w14:textId="679243CD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F01342" w:rsidRPr="00CE6FBA" w14:paraId="3B5095C1" w14:textId="208C5F2F" w:rsidTr="004262AE">
        <w:trPr>
          <w:trHeight w:val="284"/>
        </w:trPr>
        <w:tc>
          <w:tcPr>
            <w:tcW w:w="1980" w:type="dxa"/>
          </w:tcPr>
          <w:p w14:paraId="4138F9D5" w14:textId="550DCAFA" w:rsidR="00F01342" w:rsidRPr="00CE6FBA" w:rsidRDefault="00F01342" w:rsidP="00863088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числа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лейкоцитов</w:t>
            </w:r>
          </w:p>
        </w:tc>
        <w:tc>
          <w:tcPr>
            <w:tcW w:w="709" w:type="dxa"/>
          </w:tcPr>
          <w:p w14:paraId="41D53101" w14:textId="78079480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0BE9C610" w14:textId="54F22D03" w:rsidR="00F01342" w:rsidRPr="00CE6FBA" w:rsidRDefault="00863088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849" w:type="dxa"/>
          </w:tcPr>
          <w:p w14:paraId="0990E7B9" w14:textId="44D21A13" w:rsidR="00F01342" w:rsidRPr="00CE6FBA" w:rsidRDefault="009B65E3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2AC5B7ED" w14:textId="540051F1" w:rsidR="00F01342" w:rsidRPr="00CE6FBA" w:rsidRDefault="00F01342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42BEA25E" w14:textId="2B545D6C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559877C0" w14:textId="5E90CE07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7E2DBA4A" w14:textId="24A35E87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863088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02F0C57A" w14:textId="3AD2C35A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442C418D" w14:textId="4073A7E8" w:rsidR="00F01342" w:rsidRPr="00CE6FBA" w:rsidRDefault="00863088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1E000674" w14:textId="70DB8FE4" w:rsidTr="004262AE">
        <w:trPr>
          <w:trHeight w:val="284"/>
        </w:trPr>
        <w:tc>
          <w:tcPr>
            <w:tcW w:w="1980" w:type="dxa"/>
          </w:tcPr>
          <w:p w14:paraId="6774B53A" w14:textId="211245D5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 числа тромбоцитов</w:t>
            </w:r>
          </w:p>
        </w:tc>
        <w:tc>
          <w:tcPr>
            <w:tcW w:w="709" w:type="dxa"/>
          </w:tcPr>
          <w:p w14:paraId="03594E9C" w14:textId="181802D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5C294F58" w14:textId="778AE22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5164ECC5" w14:textId="55D8F6F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142976AA" w14:textId="4DC91EB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75ABACDD" w14:textId="37AC12B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35D1147E" w14:textId="01D86CA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15BA0FE2" w14:textId="75A3037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94CE9BF" w14:textId="09C8A44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22C1D95" w14:textId="71530C8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F01342" w:rsidRPr="00CE6FBA" w14:paraId="31EA5ADE" w14:textId="6177AB6D" w:rsidTr="004262AE">
        <w:trPr>
          <w:trHeight w:val="295"/>
        </w:trPr>
        <w:tc>
          <w:tcPr>
            <w:tcW w:w="1980" w:type="dxa"/>
          </w:tcPr>
          <w:p w14:paraId="7A85C057" w14:textId="3E6F6912" w:rsidR="00F01342" w:rsidRPr="00CE6FBA" w:rsidRDefault="00F01342" w:rsidP="00357F23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Повышение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числа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эозинофилов</w:t>
            </w:r>
          </w:p>
        </w:tc>
        <w:tc>
          <w:tcPr>
            <w:tcW w:w="709" w:type="dxa"/>
          </w:tcPr>
          <w:p w14:paraId="7830C78F" w14:textId="5DDB4B7D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9B65E3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D34E8D3" w14:textId="49D91E3D" w:rsidR="00F01342" w:rsidRPr="00CE6FBA" w:rsidRDefault="009B65E3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849" w:type="dxa"/>
          </w:tcPr>
          <w:p w14:paraId="411461F7" w14:textId="24856399" w:rsidR="00F01342" w:rsidRPr="00CE6FBA" w:rsidRDefault="009B65E3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14:paraId="0264B6C2" w14:textId="0DCB89D0" w:rsidR="00F01342" w:rsidRPr="00CE6FBA" w:rsidRDefault="00F01342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4A37126E" w14:textId="5472A2D7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327151B2" w14:textId="4CDDE760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6CC3E30D" w14:textId="382B7513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 w:rsidR="009B65E3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6F5B445" w14:textId="350994A7" w:rsidR="00F01342" w:rsidRPr="00CE6FBA" w:rsidRDefault="009B65E3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46F86DAF" w14:textId="40EBF3CB" w:rsidR="00F01342" w:rsidRPr="00CE6FBA" w:rsidRDefault="009B65E3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F01342" w:rsidRPr="00CE6FBA" w14:paraId="5DAC5045" w14:textId="43949A6E" w:rsidTr="004262AE">
        <w:trPr>
          <w:trHeight w:val="284"/>
        </w:trPr>
        <w:tc>
          <w:tcPr>
            <w:tcW w:w="1980" w:type="dxa"/>
          </w:tcPr>
          <w:p w14:paraId="2E14E51A" w14:textId="6CB61A0D" w:rsidR="00F01342" w:rsidRPr="00CE6FBA" w:rsidRDefault="00F01342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Снижение систолического артериального давления</w:t>
            </w:r>
          </w:p>
        </w:tc>
        <w:tc>
          <w:tcPr>
            <w:tcW w:w="709" w:type="dxa"/>
          </w:tcPr>
          <w:p w14:paraId="72A5E2CB" w14:textId="01862C38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 w:rsidR="009B65E3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23C23A51" w14:textId="5B039075" w:rsidR="00F01342" w:rsidRPr="00CE6FBA" w:rsidRDefault="009B65E3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64132295" w14:textId="763729FF" w:rsidR="00F01342" w:rsidRPr="00CE6FBA" w:rsidRDefault="009B65E3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60FA8978" w14:textId="15FBE976" w:rsidR="00F01342" w:rsidRPr="00CE6FBA" w:rsidRDefault="00F01342" w:rsidP="00F01342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2957BFE6" w14:textId="7C3801F2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04D59F33" w14:textId="0BAF95F5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0678A706" w14:textId="0D30D2FB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1AF22C52" w14:textId="251A98A3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36F54F38" w14:textId="085E7A90" w:rsidR="00F01342" w:rsidRPr="00CE6FBA" w:rsidRDefault="00F01342" w:rsidP="00F0134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5A469497" w14:textId="7BECE857" w:rsidTr="004262AE">
        <w:trPr>
          <w:trHeight w:val="284"/>
        </w:trPr>
        <w:tc>
          <w:tcPr>
            <w:tcW w:w="1980" w:type="dxa"/>
          </w:tcPr>
          <w:p w14:paraId="56C099D5" w14:textId="009EF1FD" w:rsidR="00863088" w:rsidRPr="004262AE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Снижение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уровня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креатинина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851C69">
              <w:rPr>
                <w:bCs/>
                <w:sz w:val="24"/>
                <w:szCs w:val="28"/>
                <w:lang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крови</w:t>
            </w:r>
          </w:p>
        </w:tc>
        <w:tc>
          <w:tcPr>
            <w:tcW w:w="709" w:type="dxa"/>
          </w:tcPr>
          <w:p w14:paraId="35DA6250" w14:textId="582C054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6635BEF1" w14:textId="2BD434BD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4564719D" w14:textId="06F8015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15FA5A0D" w14:textId="15B4A738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3DB95534" w14:textId="4E7FCE3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1AFC7743" w14:textId="1816B04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405D6709" w14:textId="5EE155B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0BDE756" w14:textId="05A36CD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4A9A3902" w14:textId="69922BA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9B65E3" w:rsidRPr="00CE6FBA" w14:paraId="426FE55D" w14:textId="1989CEAE" w:rsidTr="004262AE">
        <w:trPr>
          <w:trHeight w:val="284"/>
        </w:trPr>
        <w:tc>
          <w:tcPr>
            <w:tcW w:w="1980" w:type="dxa"/>
          </w:tcPr>
          <w:p w14:paraId="27F6D4BF" w14:textId="125276A9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Увеличение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числа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лимфоцитов</w:t>
            </w:r>
          </w:p>
        </w:tc>
        <w:tc>
          <w:tcPr>
            <w:tcW w:w="709" w:type="dxa"/>
          </w:tcPr>
          <w:p w14:paraId="434C6865" w14:textId="132156E2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756B78EC" w14:textId="010EC65E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849" w:type="dxa"/>
          </w:tcPr>
          <w:p w14:paraId="4F0066C8" w14:textId="2EDCA259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14:paraId="654DCFB1" w14:textId="53D8AE72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36F1CC5B" w14:textId="3AA927E0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2EE4C35C" w14:textId="066B9BC3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7525B3CE" w14:textId="28F3EF0C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5AF41325" w14:textId="3126753A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56CAB197" w14:textId="2B6C120E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9B65E3" w:rsidRPr="00CE6FBA" w14:paraId="4BEC63A5" w14:textId="390BD987" w:rsidTr="004262AE">
        <w:trPr>
          <w:trHeight w:val="158"/>
        </w:trPr>
        <w:tc>
          <w:tcPr>
            <w:tcW w:w="1980" w:type="dxa"/>
          </w:tcPr>
          <w:p w14:paraId="59BF009E" w14:textId="5737CA23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Эритроциты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в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моче</w:t>
            </w:r>
          </w:p>
          <w:p w14:paraId="0F879374" w14:textId="423DA33D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</w:p>
        </w:tc>
        <w:tc>
          <w:tcPr>
            <w:tcW w:w="709" w:type="dxa"/>
          </w:tcPr>
          <w:p w14:paraId="5F308BC0" w14:textId="2AC51640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73CAFF5" w14:textId="65F35131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849" w:type="dxa"/>
          </w:tcPr>
          <w:p w14:paraId="40EB6025" w14:textId="06778312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646E30F2" w14:textId="083900BA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E43DA5F" w14:textId="4F7A8D48" w:rsidR="009B65E3" w:rsidRPr="00CE6FBA" w:rsidRDefault="003F62C0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733" w:type="dxa"/>
          </w:tcPr>
          <w:p w14:paraId="17489385" w14:textId="7EB7CD05" w:rsidR="009B65E3" w:rsidRPr="00CE6FBA" w:rsidRDefault="003F62C0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684" w:type="dxa"/>
          </w:tcPr>
          <w:p w14:paraId="725898D7" w14:textId="27C1DB9C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6E97B3E" w14:textId="58574945" w:rsidR="009B65E3" w:rsidRPr="00CE6FBA" w:rsidRDefault="003F62C0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592" w:type="dxa"/>
          </w:tcPr>
          <w:p w14:paraId="16A4EA8F" w14:textId="77F06319" w:rsidR="009B65E3" w:rsidRPr="00CE6FBA" w:rsidRDefault="003F62C0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</w:t>
            </w:r>
          </w:p>
        </w:tc>
      </w:tr>
      <w:bookmarkEnd w:id="1"/>
      <w:tr w:rsidR="00851C69" w:rsidRPr="00CE6FBA" w14:paraId="4E4EDBBF" w14:textId="4FC7339C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0ADDE620" w14:textId="3CAC6D07" w:rsidR="00851C69" w:rsidRPr="00CE6FBA" w:rsidRDefault="00851C69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Желудочно-кишечные нарушения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D206A7" w14:textId="2165B88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8 (13,3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2F9D791" w14:textId="4F95007D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5,9–24,6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BE57C26" w14:textId="3D49FC5E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563B3C" w14:textId="4C1856A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C2262B6" w14:textId="00A2F08B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83D1C1B" w14:textId="515905C1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702B75B0" w14:textId="6DEB45B6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44CB35F8" w14:textId="1B888715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2813C256" w14:textId="46BD9465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</w:t>
            </w:r>
          </w:p>
        </w:tc>
      </w:tr>
      <w:tr w:rsidR="00863088" w:rsidRPr="00CE6FBA" w14:paraId="1E0ED971" w14:textId="19132ED8" w:rsidTr="004262AE">
        <w:trPr>
          <w:trHeight w:val="284"/>
        </w:trPr>
        <w:tc>
          <w:tcPr>
            <w:tcW w:w="1980" w:type="dxa"/>
          </w:tcPr>
          <w:p w14:paraId="4250FD23" w14:textId="3DDF7FFB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Боль в животе</w:t>
            </w:r>
          </w:p>
        </w:tc>
        <w:tc>
          <w:tcPr>
            <w:tcW w:w="709" w:type="dxa"/>
          </w:tcPr>
          <w:p w14:paraId="380BFDE2" w14:textId="283072B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596DE511" w14:textId="65AD938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743F4029" w14:textId="4F023D1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3F179C98" w14:textId="71406E8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02C3942F" w14:textId="4FDC702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3D638E2A" w14:textId="56C77CF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07DF56BA" w14:textId="55F8F27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7BD1E9A2" w14:textId="4A7B9D3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0FF8C088" w14:textId="034B583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617D92A2" w14:textId="54FECD63" w:rsidTr="004262AE">
        <w:trPr>
          <w:trHeight w:val="284"/>
        </w:trPr>
        <w:tc>
          <w:tcPr>
            <w:tcW w:w="1980" w:type="dxa"/>
          </w:tcPr>
          <w:p w14:paraId="3AB87C8C" w14:textId="6F236A28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Диарея</w:t>
            </w:r>
          </w:p>
        </w:tc>
        <w:tc>
          <w:tcPr>
            <w:tcW w:w="709" w:type="dxa"/>
          </w:tcPr>
          <w:p w14:paraId="528EDF0D" w14:textId="07D4065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6ECF92DA" w14:textId="3BB9C9D0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849" w:type="dxa"/>
          </w:tcPr>
          <w:p w14:paraId="7F3B8F89" w14:textId="41928D71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4E0FC78B" w14:textId="6D52C8E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597DC21B" w14:textId="1BF2598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6DA5FE33" w14:textId="3B61639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4E6706D2" w14:textId="3D25723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0751EE56" w14:textId="609AC1A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4E1A40B5" w14:textId="2C0312A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1ABC5D73" w14:textId="60312F40" w:rsidTr="004262AE">
        <w:trPr>
          <w:trHeight w:val="284"/>
        </w:trPr>
        <w:tc>
          <w:tcPr>
            <w:tcW w:w="1980" w:type="dxa"/>
          </w:tcPr>
          <w:p w14:paraId="296F43B8" w14:textId="3B05F8B7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Рвота</w:t>
            </w:r>
          </w:p>
        </w:tc>
        <w:tc>
          <w:tcPr>
            <w:tcW w:w="709" w:type="dxa"/>
          </w:tcPr>
          <w:p w14:paraId="2C85AEC7" w14:textId="7E1B4F6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6FBEFD0A" w14:textId="78C1F96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7D33F17C" w14:textId="448A06A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</w:tcPr>
          <w:p w14:paraId="1F8EE655" w14:textId="3E247E2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4D6C0766" w14:textId="19091E8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26202D99" w14:textId="0DE3D70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4826FCC8" w14:textId="32A5245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100F0602" w14:textId="047070C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59EE9FBC" w14:textId="68A270B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51C69" w:rsidRPr="00CE6FBA" w14:paraId="76DF0BE3" w14:textId="3272E84F" w:rsidTr="004262AE">
        <w:trPr>
          <w:trHeight w:val="284"/>
        </w:trPr>
        <w:tc>
          <w:tcPr>
            <w:tcW w:w="1980" w:type="dxa"/>
          </w:tcPr>
          <w:p w14:paraId="4759C19E" w14:textId="758644B0" w:rsidR="00851C69" w:rsidRPr="00CE6FBA" w:rsidRDefault="00851C69" w:rsidP="00851C69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Тошнота</w:t>
            </w:r>
          </w:p>
        </w:tc>
        <w:tc>
          <w:tcPr>
            <w:tcW w:w="709" w:type="dxa"/>
          </w:tcPr>
          <w:p w14:paraId="5965B71E" w14:textId="6D686459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31D78B4" w14:textId="6A30B6DC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849" w:type="dxa"/>
          </w:tcPr>
          <w:p w14:paraId="17C80C97" w14:textId="0038EF5C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14:paraId="2E2EE93E" w14:textId="0E2DEB81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63C3AF22" w14:textId="74648A75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733" w:type="dxa"/>
          </w:tcPr>
          <w:p w14:paraId="087C13EC" w14:textId="2E5F498A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684" w:type="dxa"/>
          </w:tcPr>
          <w:p w14:paraId="58B6C637" w14:textId="07B5F6AB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09D954A3" w14:textId="3914C424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592" w:type="dxa"/>
          </w:tcPr>
          <w:p w14:paraId="7D46DF95" w14:textId="5851258D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</w:t>
            </w:r>
          </w:p>
        </w:tc>
      </w:tr>
      <w:tr w:rsidR="00863088" w:rsidRPr="00CE6FBA" w14:paraId="52A0DDA2" w14:textId="22FC62DF" w:rsidTr="004262AE">
        <w:trPr>
          <w:trHeight w:val="404"/>
        </w:trPr>
        <w:tc>
          <w:tcPr>
            <w:tcW w:w="1980" w:type="dxa"/>
            <w:shd w:val="clear" w:color="auto" w:fill="D9D9D9" w:themeFill="background1" w:themeFillShade="D9"/>
          </w:tcPr>
          <w:p w14:paraId="2831A9FA" w14:textId="33721357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 xml:space="preserve">Нарушения общего характера, </w:t>
            </w:r>
            <w:r w:rsidR="004262AE" w:rsidRPr="004262AE">
              <w:rPr>
                <w:bCs/>
                <w:sz w:val="24"/>
                <w:szCs w:val="28"/>
                <w:lang w:eastAsia="ja-JP"/>
              </w:rPr>
              <w:t>не классифицированны</w:t>
            </w:r>
            <w:r w:rsidR="004262AE">
              <w:rPr>
                <w:bCs/>
                <w:sz w:val="24"/>
                <w:szCs w:val="28"/>
                <w:lang w:eastAsia="ja-JP"/>
              </w:rPr>
              <w:t>е</w:t>
            </w:r>
            <w:r w:rsidR="004262AE" w:rsidRPr="004262AE">
              <w:rPr>
                <w:bCs/>
                <w:sz w:val="24"/>
                <w:szCs w:val="28"/>
                <w:lang w:eastAsia="ja-JP"/>
              </w:rPr>
              <w:t xml:space="preserve"> в других рубриках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52A900" w14:textId="474DB8D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6F1F4CC" w14:textId="0BBA2C3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560298C" w14:textId="003EEE5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2A1BEC" w14:textId="1B24556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853DADC" w14:textId="5BEE17B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D3E2FE8" w14:textId="580FE1D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647E0C0B" w14:textId="69224CC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35BBF5F" w14:textId="63E8856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4769D5B6" w14:textId="6A53683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0AEA5C12" w14:textId="423872A5" w:rsidTr="004262AE">
        <w:trPr>
          <w:trHeight w:val="289"/>
        </w:trPr>
        <w:tc>
          <w:tcPr>
            <w:tcW w:w="1980" w:type="dxa"/>
            <w:shd w:val="clear" w:color="auto" w:fill="FFFFFF" w:themeFill="background1"/>
          </w:tcPr>
          <w:p w14:paraId="00636F50" w14:textId="58A0F555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val="en-US"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Ощущение</w:t>
            </w:r>
            <w:r w:rsidRPr="00CE6FBA">
              <w:rPr>
                <w:bCs/>
                <w:sz w:val="24"/>
                <w:szCs w:val="28"/>
                <w:lang w:val="en-US" w:eastAsia="ja-JP"/>
              </w:rPr>
              <w:t xml:space="preserve"> </w:t>
            </w:r>
            <w:r w:rsidRPr="00CE6FBA">
              <w:rPr>
                <w:bCs/>
                <w:sz w:val="24"/>
                <w:szCs w:val="28"/>
                <w:lang w:eastAsia="ja-JP"/>
              </w:rPr>
              <w:t>жара</w:t>
            </w:r>
          </w:p>
        </w:tc>
        <w:tc>
          <w:tcPr>
            <w:tcW w:w="709" w:type="dxa"/>
            <w:shd w:val="clear" w:color="auto" w:fill="FFFFFF" w:themeFill="background1"/>
          </w:tcPr>
          <w:p w14:paraId="01B21347" w14:textId="299A2D08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FFFFFF" w:themeFill="background1"/>
          </w:tcPr>
          <w:p w14:paraId="2B2F8362" w14:textId="1ABE5138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FFFFFF" w:themeFill="background1"/>
          </w:tcPr>
          <w:p w14:paraId="44A153E5" w14:textId="123E857F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</w:tcPr>
          <w:p w14:paraId="279A3BA6" w14:textId="739E4242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  <w:shd w:val="clear" w:color="auto" w:fill="FFFFFF" w:themeFill="background1"/>
          </w:tcPr>
          <w:p w14:paraId="51662D19" w14:textId="1960DDCF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  <w:shd w:val="clear" w:color="auto" w:fill="FFFFFF" w:themeFill="background1"/>
          </w:tcPr>
          <w:p w14:paraId="6752DDBD" w14:textId="3429FD2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  <w:shd w:val="clear" w:color="auto" w:fill="FFFFFF" w:themeFill="background1"/>
          </w:tcPr>
          <w:p w14:paraId="62EF21A3" w14:textId="60522F1C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FFFFFF" w:themeFill="background1"/>
          </w:tcPr>
          <w:p w14:paraId="29D6BCA5" w14:textId="4BE62F32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  <w:shd w:val="clear" w:color="auto" w:fill="FFFFFF" w:themeFill="background1"/>
          </w:tcPr>
          <w:p w14:paraId="0A930161" w14:textId="58AD6BD3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51C69" w:rsidRPr="00CE6FBA" w14:paraId="671C3150" w14:textId="44A8AD1F" w:rsidTr="004262AE">
        <w:trPr>
          <w:trHeight w:val="404"/>
        </w:trPr>
        <w:tc>
          <w:tcPr>
            <w:tcW w:w="1980" w:type="dxa"/>
            <w:shd w:val="clear" w:color="auto" w:fill="D9D9D9" w:themeFill="background1" w:themeFillShade="D9"/>
          </w:tcPr>
          <w:p w14:paraId="779A73E3" w14:textId="488605FF" w:rsidR="00851C69" w:rsidRPr="004262AE" w:rsidRDefault="00851C69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5CB3E9" w14:textId="76BA8F0F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10 (16,7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33FE34F" w14:textId="27A8C5C5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8,3–28,5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766B8D9" w14:textId="0AC00CAD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6EF9F1" w14:textId="06B570B9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 (6,7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3C94A6E" w14:textId="0A71872B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1,8–16,2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4B9DDE92" w14:textId="02127929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7277559C" w14:textId="07F5CF1A" w:rsidR="00851C69" w:rsidRPr="00CE6FBA" w:rsidRDefault="00851C69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7 (11,7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2E994BE8" w14:textId="1E6AEF19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4,8–22,6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160651A9" w14:textId="4339DF8E" w:rsidR="00851C69" w:rsidRPr="00CE6FBA" w:rsidRDefault="003F62C0" w:rsidP="00851C6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9</w:t>
            </w:r>
          </w:p>
        </w:tc>
      </w:tr>
      <w:tr w:rsidR="00863088" w:rsidRPr="00CE6FBA" w14:paraId="46223DAA" w14:textId="0B777A3E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3F9CBCC7" w14:textId="04B30086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Боль в пазухах носа</w:t>
            </w:r>
          </w:p>
        </w:tc>
        <w:tc>
          <w:tcPr>
            <w:tcW w:w="709" w:type="dxa"/>
            <w:shd w:val="clear" w:color="auto" w:fill="auto"/>
          </w:tcPr>
          <w:p w14:paraId="7B02FBA6" w14:textId="543D1CA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72C2E1C0" w14:textId="478020A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09837791" w14:textId="1970C00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3C7D1BF2" w14:textId="029CB30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6A71E164" w14:textId="508C3DA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2A58BF66" w14:textId="2F26E98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26A5EA82" w14:textId="1557215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4261F8E5" w14:textId="4AA7F84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019958B2" w14:textId="28ED9B0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3F62C0" w:rsidRPr="00CE6FBA" w14:paraId="3745E49F" w14:textId="72EC52AB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04833D4A" w14:textId="4683C76A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Боль в ротоглотке (</w:t>
            </w: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орофарингеальная</w:t>
            </w:r>
            <w:proofErr w:type="spellEnd"/>
            <w:r w:rsidRPr="00CE6FBA">
              <w:rPr>
                <w:bCs/>
                <w:sz w:val="24"/>
                <w:szCs w:val="28"/>
                <w:lang w:eastAsia="ja-JP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D30232" w14:textId="01D6B35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03ADBF91" w14:textId="24A9BB1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849" w:type="dxa"/>
          </w:tcPr>
          <w:p w14:paraId="62FC0ED7" w14:textId="0214D32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F08087C" w14:textId="1DA2B524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2082705B" w14:textId="060BE998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733" w:type="dxa"/>
          </w:tcPr>
          <w:p w14:paraId="62D4BC87" w14:textId="703476C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684" w:type="dxa"/>
          </w:tcPr>
          <w:p w14:paraId="223A7276" w14:textId="2F7A1FF8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74FB4E12" w14:textId="7B293266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6F2C5830" w14:textId="767F73EE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3F62C0" w:rsidRPr="00CE6FBA" w14:paraId="2847872A" w14:textId="13402EBD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0F6073BE" w14:textId="3B04E9A2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Дисфония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244FA8C" w14:textId="18A5A7E2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3F929D1B" w14:textId="26265A67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6B42015C" w14:textId="2866D7F8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2B4C7B04" w14:textId="2C92881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44870E48" w14:textId="0C7B1A5F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4B016FA5" w14:textId="69AF5D57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30181E1A" w14:textId="666A12D5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5471FDE9" w14:textId="0E61513F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204DC188" w14:textId="46768586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9B65E3" w:rsidRPr="00CE6FBA" w14:paraId="752044F0" w14:textId="62065313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5B19272E" w14:textId="12149781" w:rsidR="009B65E3" w:rsidRPr="00CE6FBA" w:rsidRDefault="009B65E3" w:rsidP="009B65E3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Заложенность носа</w:t>
            </w:r>
          </w:p>
        </w:tc>
        <w:tc>
          <w:tcPr>
            <w:tcW w:w="709" w:type="dxa"/>
            <w:shd w:val="clear" w:color="auto" w:fill="auto"/>
          </w:tcPr>
          <w:p w14:paraId="6F00F024" w14:textId="6B8CBC8A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B1121B7" w14:textId="1129DCAB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849" w:type="dxa"/>
          </w:tcPr>
          <w:p w14:paraId="1C293230" w14:textId="28AEA8E0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098C84" w14:textId="6CAD6224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6786DDE6" w14:textId="529AF4F1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4F070037" w14:textId="1DB390C1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13606C1D" w14:textId="6E81087B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4B8F5792" w14:textId="672F49D9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27ADE37C" w14:textId="1C30EAB8" w:rsidR="009B65E3" w:rsidRPr="00CE6FBA" w:rsidRDefault="009B65E3" w:rsidP="009B65E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0F5CD6B7" w14:textId="54FCCEE2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2019210" w14:textId="184B0BE9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Кашель</w:t>
            </w:r>
          </w:p>
        </w:tc>
        <w:tc>
          <w:tcPr>
            <w:tcW w:w="709" w:type="dxa"/>
            <w:shd w:val="clear" w:color="auto" w:fill="auto"/>
          </w:tcPr>
          <w:p w14:paraId="414D58CA" w14:textId="0CD0C74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3 (5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44B1C5E" w14:textId="13C02016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,0</w:t>
            </w:r>
            <w:r w:rsidRPr="00CE6FBA">
              <w:rPr>
                <w:bCs/>
                <w:sz w:val="24"/>
                <w:szCs w:val="28"/>
              </w:rPr>
              <w:t>–13,9</w:t>
            </w:r>
          </w:p>
        </w:tc>
        <w:tc>
          <w:tcPr>
            <w:tcW w:w="849" w:type="dxa"/>
          </w:tcPr>
          <w:p w14:paraId="3B9D807F" w14:textId="3DCBD53B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54034A" w14:textId="2E5DA90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EB5227C" w14:textId="5A2ADE1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4DDAE123" w14:textId="715CFCB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650F19C7" w14:textId="491823F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F733BCC" w14:textId="169E7E5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01998ED8" w14:textId="5962AB9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7C7D686C" w14:textId="7B09A6AB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7A5E1C6" w14:textId="3D419702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Одышка</w:t>
            </w:r>
          </w:p>
        </w:tc>
        <w:tc>
          <w:tcPr>
            <w:tcW w:w="709" w:type="dxa"/>
            <w:shd w:val="clear" w:color="auto" w:fill="auto"/>
          </w:tcPr>
          <w:p w14:paraId="31D36B15" w14:textId="2F8FA99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32A1A82" w14:textId="3568E59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46C6CBF5" w14:textId="143C710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BFCBBD" w14:textId="1C5376A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72E68DA7" w14:textId="48FC7E4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39928ADE" w14:textId="198427F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56F7D399" w14:textId="0EDB541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440417E8" w14:textId="0F35F8F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C4BE2C9" w14:textId="249C997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3F62C0" w:rsidRPr="00CE6FBA" w14:paraId="08E4A0C6" w14:textId="4648175B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21C0140" w14:textId="65099FBA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proofErr w:type="spellStart"/>
            <w:r w:rsidRPr="00CE6FBA">
              <w:rPr>
                <w:bCs/>
                <w:sz w:val="24"/>
                <w:szCs w:val="28"/>
                <w:lang w:eastAsia="ja-JP"/>
              </w:rPr>
              <w:t>Паросмия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768E492" w14:textId="367EBFAD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6614D23B" w14:textId="378C192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2493CB59" w14:textId="14ACD33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4E15734E" w14:textId="729A349F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C4DE7C7" w14:textId="20E1B68B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</w:tcPr>
          <w:p w14:paraId="2E729F81" w14:textId="0E24B2DD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</w:tcPr>
          <w:p w14:paraId="27F54F01" w14:textId="56F36EF2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23841A9B" w14:textId="53F41075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56B4CBD5" w14:textId="55282A79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3F62C0" w:rsidRPr="00CE6FBA" w14:paraId="7BC3C128" w14:textId="70FC990C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45F88360" w14:textId="47460A65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Першение в горле</w:t>
            </w:r>
          </w:p>
        </w:tc>
        <w:tc>
          <w:tcPr>
            <w:tcW w:w="709" w:type="dxa"/>
            <w:shd w:val="clear" w:color="auto" w:fill="auto"/>
          </w:tcPr>
          <w:p w14:paraId="69D4E399" w14:textId="2FAA4F3A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5FBDE5C9" w14:textId="33AE3AD7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1C283021" w14:textId="3E140A9F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272C49BD" w14:textId="0E0811CC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03D5B047" w14:textId="669F7D1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73620B54" w14:textId="0F8E241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69159360" w14:textId="32FBA06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FBA4C61" w14:textId="7A4468ED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25884611" w14:textId="2D7A351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3F62C0" w:rsidRPr="00CE6FBA" w14:paraId="0365AF9A" w14:textId="77F4B272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1FD62254" w14:textId="70C4C1A7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Ринорея</w:t>
            </w:r>
          </w:p>
        </w:tc>
        <w:tc>
          <w:tcPr>
            <w:tcW w:w="709" w:type="dxa"/>
            <w:shd w:val="clear" w:color="auto" w:fill="auto"/>
          </w:tcPr>
          <w:p w14:paraId="74EFC1A9" w14:textId="31D1B3D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852BA17" w14:textId="5E07266A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849" w:type="dxa"/>
          </w:tcPr>
          <w:p w14:paraId="2A4796C3" w14:textId="4700EE8D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CE565BC" w14:textId="6F7C222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011E7DA1" w14:textId="0836496C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6ECBC5D9" w14:textId="37D85415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</w:p>
        </w:tc>
        <w:tc>
          <w:tcPr>
            <w:tcW w:w="684" w:type="dxa"/>
          </w:tcPr>
          <w:p w14:paraId="777CA227" w14:textId="7F4A093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83F602B" w14:textId="564FEE73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</w:tcPr>
          <w:p w14:paraId="016EA911" w14:textId="537B949B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863088" w:rsidRPr="00CE6FBA" w14:paraId="0018B1F0" w14:textId="0D58A927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6F0E5D1E" w14:textId="12F8E062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Чихание</w:t>
            </w:r>
          </w:p>
        </w:tc>
        <w:tc>
          <w:tcPr>
            <w:tcW w:w="709" w:type="dxa"/>
            <w:shd w:val="clear" w:color="auto" w:fill="auto"/>
          </w:tcPr>
          <w:p w14:paraId="15172E41" w14:textId="50E925A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9F61F38" w14:textId="1B5735E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2945ABFA" w14:textId="7BBB2FB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562BE3" w14:textId="6E5EE17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12ED1AA0" w14:textId="48FD7A7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223AB1AE" w14:textId="3F50CD7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45DE66C0" w14:textId="505E441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5052B1A5" w14:textId="4B68276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1D5DE495" w14:textId="75BCD24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79AE39DA" w14:textId="3616FBF0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13FA5118" w14:textId="60901816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иммунной системы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05D0F3" w14:textId="076FB01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33761B2" w14:textId="62C201D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5ECF889E" w14:textId="47CE9A5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DBBD7" w14:textId="613613B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8DA8909" w14:textId="729FFA1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22301E9" w14:textId="7E4A730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348BFE79" w14:textId="0B0FAB8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38656885" w14:textId="73351F3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2ACBF32E" w14:textId="57FC008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483E7893" w14:textId="6D3CE45B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045F9A2" w14:textId="1A238ACA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Гиперчувствительность</w:t>
            </w:r>
          </w:p>
        </w:tc>
        <w:tc>
          <w:tcPr>
            <w:tcW w:w="709" w:type="dxa"/>
            <w:shd w:val="clear" w:color="auto" w:fill="auto"/>
          </w:tcPr>
          <w:p w14:paraId="4786AF17" w14:textId="4CA8F28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8C3D63C" w14:textId="086DFA3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080317B1" w14:textId="7E24040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4F7ED49" w14:textId="56FE484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39E6EA01" w14:textId="7428D1D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4E72A3CF" w14:textId="5D08235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0656BA87" w14:textId="3157BBC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0E1B4259" w14:textId="0DCB7C4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54115D2F" w14:textId="526AEE4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3F62C0" w:rsidRPr="00CE6FBA" w14:paraId="4CDB14DC" w14:textId="3930C418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06DCCDE5" w14:textId="6AAA1639" w:rsidR="003F62C0" w:rsidRPr="003F62C0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кожи и подкожной клетчатки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D370B4" w14:textId="3D2AA91D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BB799D3" w14:textId="28A6988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73F9CD9" w14:textId="1A352D9C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97912A" w14:textId="42893B67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3C097DB" w14:textId="25B8B962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6C174AA" w14:textId="3AACABB6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4AA8E80D" w14:textId="76DF563B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441796DA" w14:textId="70FC170F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1EDF9567" w14:textId="120D7D95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</w:tr>
      <w:tr w:rsidR="00863088" w:rsidRPr="00CE6FBA" w14:paraId="12C0C9F2" w14:textId="02734B3E" w:rsidTr="004262AE">
        <w:trPr>
          <w:trHeight w:val="284"/>
        </w:trPr>
        <w:tc>
          <w:tcPr>
            <w:tcW w:w="1980" w:type="dxa"/>
            <w:shd w:val="clear" w:color="auto" w:fill="FFFFFF" w:themeFill="background1"/>
          </w:tcPr>
          <w:p w14:paraId="0BBC2978" w14:textId="02935ED7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proofErr w:type="spellStart"/>
            <w:r w:rsidRPr="00CE6FBA">
              <w:rPr>
                <w:bCs/>
                <w:sz w:val="24"/>
                <w:szCs w:val="28"/>
              </w:rPr>
              <w:t>Ангулярный</w:t>
            </w:r>
            <w:proofErr w:type="spellEnd"/>
            <w:r w:rsidRPr="00CE6FBA">
              <w:rPr>
                <w:bCs/>
                <w:sz w:val="24"/>
                <w:szCs w:val="28"/>
              </w:rPr>
              <w:t xml:space="preserve"> хейлит</w:t>
            </w:r>
          </w:p>
        </w:tc>
        <w:tc>
          <w:tcPr>
            <w:tcW w:w="709" w:type="dxa"/>
            <w:shd w:val="clear" w:color="auto" w:fill="FFFFFF" w:themeFill="background1"/>
          </w:tcPr>
          <w:p w14:paraId="4C8FA980" w14:textId="064918E1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FFFFFF" w:themeFill="background1"/>
          </w:tcPr>
          <w:p w14:paraId="4ADA24F2" w14:textId="3D4C301A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FFFFFF" w:themeFill="background1"/>
          </w:tcPr>
          <w:p w14:paraId="3A838CED" w14:textId="2EDE3069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</w:tcPr>
          <w:p w14:paraId="3E666339" w14:textId="391AF86F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  <w:shd w:val="clear" w:color="auto" w:fill="FFFFFF" w:themeFill="background1"/>
          </w:tcPr>
          <w:p w14:paraId="6D22C496" w14:textId="5AB98B0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  <w:shd w:val="clear" w:color="auto" w:fill="FFFFFF" w:themeFill="background1"/>
          </w:tcPr>
          <w:p w14:paraId="241B0391" w14:textId="1B1730B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  <w:shd w:val="clear" w:color="auto" w:fill="FFFFFF" w:themeFill="background1"/>
          </w:tcPr>
          <w:p w14:paraId="78F965BC" w14:textId="0BE1AA8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FFFFFF" w:themeFill="background1"/>
          </w:tcPr>
          <w:p w14:paraId="05D4CABD" w14:textId="6B5836C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  <w:shd w:val="clear" w:color="auto" w:fill="FFFFFF" w:themeFill="background1"/>
          </w:tcPr>
          <w:p w14:paraId="1C1A2D31" w14:textId="323AC83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26927CAA" w14:textId="334475F7" w:rsidTr="004262AE">
        <w:trPr>
          <w:trHeight w:val="284"/>
        </w:trPr>
        <w:tc>
          <w:tcPr>
            <w:tcW w:w="1980" w:type="dxa"/>
            <w:shd w:val="clear" w:color="auto" w:fill="FFFFFF" w:themeFill="background1"/>
          </w:tcPr>
          <w:p w14:paraId="09100B14" w14:textId="42B05AAC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Гипестезия</w:t>
            </w:r>
          </w:p>
        </w:tc>
        <w:tc>
          <w:tcPr>
            <w:tcW w:w="709" w:type="dxa"/>
            <w:shd w:val="clear" w:color="auto" w:fill="FFFFFF" w:themeFill="background1"/>
          </w:tcPr>
          <w:p w14:paraId="4785C0A7" w14:textId="55C7C68D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FFFFFF" w:themeFill="background1"/>
          </w:tcPr>
          <w:p w14:paraId="72C51AD2" w14:textId="6C18E311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FFFFFF" w:themeFill="background1"/>
          </w:tcPr>
          <w:p w14:paraId="2BB44F31" w14:textId="11CBE6D5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</w:tcPr>
          <w:p w14:paraId="713C9DF5" w14:textId="1BCDB7AF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  <w:shd w:val="clear" w:color="auto" w:fill="FFFFFF" w:themeFill="background1"/>
          </w:tcPr>
          <w:p w14:paraId="4F9751E6" w14:textId="3E0C87F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  <w:shd w:val="clear" w:color="auto" w:fill="FFFFFF" w:themeFill="background1"/>
          </w:tcPr>
          <w:p w14:paraId="1E7C8AFE" w14:textId="01C9154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  <w:shd w:val="clear" w:color="auto" w:fill="FFFFFF" w:themeFill="background1"/>
          </w:tcPr>
          <w:p w14:paraId="3D84B14C" w14:textId="45A1AF5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FFFFFF" w:themeFill="background1"/>
          </w:tcPr>
          <w:p w14:paraId="74C104FC" w14:textId="66D0161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  <w:shd w:val="clear" w:color="auto" w:fill="FFFFFF" w:themeFill="background1"/>
          </w:tcPr>
          <w:p w14:paraId="646E41F2" w14:textId="57EC2B6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745C7EAE" w14:textId="74E4CA1C" w:rsidTr="004262AE">
        <w:trPr>
          <w:trHeight w:val="284"/>
        </w:trPr>
        <w:tc>
          <w:tcPr>
            <w:tcW w:w="1980" w:type="dxa"/>
            <w:shd w:val="clear" w:color="auto" w:fill="FFFFFF" w:themeFill="background1"/>
          </w:tcPr>
          <w:p w14:paraId="5CC5473E" w14:textId="491EEE7F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Сыпь</w:t>
            </w:r>
          </w:p>
        </w:tc>
        <w:tc>
          <w:tcPr>
            <w:tcW w:w="709" w:type="dxa"/>
            <w:shd w:val="clear" w:color="auto" w:fill="FFFFFF" w:themeFill="background1"/>
          </w:tcPr>
          <w:p w14:paraId="174B0C4A" w14:textId="2C2E7675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  <w:shd w:val="clear" w:color="auto" w:fill="FFFFFF" w:themeFill="background1"/>
          </w:tcPr>
          <w:p w14:paraId="1711234E" w14:textId="0D8330C3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  <w:shd w:val="clear" w:color="auto" w:fill="FFFFFF" w:themeFill="background1"/>
          </w:tcPr>
          <w:p w14:paraId="4D19E21E" w14:textId="7CF25C89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</w:tcPr>
          <w:p w14:paraId="3523228A" w14:textId="07D867A6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14:paraId="22FCB0BD" w14:textId="140D121D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733" w:type="dxa"/>
            <w:shd w:val="clear" w:color="auto" w:fill="FFFFFF" w:themeFill="background1"/>
          </w:tcPr>
          <w:p w14:paraId="5E9B3862" w14:textId="547CAEF6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14:paraId="1FF0CFB1" w14:textId="0E3C5A21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  <w:shd w:val="clear" w:color="auto" w:fill="FFFFFF" w:themeFill="background1"/>
          </w:tcPr>
          <w:p w14:paraId="2C549AC6" w14:textId="3C5A6EC4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  <w:shd w:val="clear" w:color="auto" w:fill="FFFFFF" w:themeFill="background1"/>
          </w:tcPr>
          <w:p w14:paraId="082A9547" w14:textId="745839A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279E93F7" w14:textId="64AD7711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6DEABC10" w14:textId="77386245" w:rsidR="00863088" w:rsidRPr="004262AE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мышечной, скелетной и соединительной ткани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3D93D1" w14:textId="551C1B7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 (23,3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27C22B" w14:textId="037803B0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13,4–36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4650D2BB" w14:textId="53E14B21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5CA93F" w14:textId="7A5A1D3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 (25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980885D" w14:textId="57B02FA2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14,7–37,9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682917E" w14:textId="3E6D1C77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19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07D59415" w14:textId="53D1589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3F62C0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73BBAF43" w14:textId="7FA34E16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6DBDC2CE" w14:textId="2A977C98" w:rsidR="00863088" w:rsidRPr="00CE6FBA" w:rsidRDefault="003F62C0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</w:tr>
      <w:tr w:rsidR="003F62C0" w:rsidRPr="00CE6FBA" w14:paraId="2931586B" w14:textId="23E74DCD" w:rsidTr="004262AE">
        <w:trPr>
          <w:trHeight w:val="284"/>
        </w:trPr>
        <w:tc>
          <w:tcPr>
            <w:tcW w:w="1980" w:type="dxa"/>
          </w:tcPr>
          <w:p w14:paraId="099F3643" w14:textId="14CC2872" w:rsidR="003F62C0" w:rsidRPr="00CE6FBA" w:rsidRDefault="003F62C0" w:rsidP="003F62C0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Артралгия</w:t>
            </w:r>
          </w:p>
        </w:tc>
        <w:tc>
          <w:tcPr>
            <w:tcW w:w="709" w:type="dxa"/>
          </w:tcPr>
          <w:p w14:paraId="3BF15F6A" w14:textId="136D11FA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573FE64A" w14:textId="5A575832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168B7A66" w14:textId="63DF4EBA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14:paraId="35E62C64" w14:textId="48A1AC41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225E7DE6" w14:textId="7D5A1360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0D6E1028" w14:textId="03A63AF2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84" w:type="dxa"/>
          </w:tcPr>
          <w:p w14:paraId="5A41CBB9" w14:textId="47C04444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5AC5AF1C" w14:textId="3607BFF7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7BA079C6" w14:textId="625C49B5" w:rsidR="003F62C0" w:rsidRPr="00CE6FBA" w:rsidRDefault="003F62C0" w:rsidP="003F62C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1261F12A" w14:textId="566CABFF" w:rsidTr="004262AE">
        <w:trPr>
          <w:trHeight w:val="284"/>
        </w:trPr>
        <w:tc>
          <w:tcPr>
            <w:tcW w:w="1980" w:type="dxa"/>
          </w:tcPr>
          <w:p w14:paraId="6519BD09" w14:textId="68AB0D46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Миалгия</w:t>
            </w:r>
          </w:p>
        </w:tc>
        <w:tc>
          <w:tcPr>
            <w:tcW w:w="709" w:type="dxa"/>
          </w:tcPr>
          <w:p w14:paraId="2775FD01" w14:textId="1A7CB5A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 (21,7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4C9EC0E6" w14:textId="01EDBE85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12,1–34,2</w:t>
            </w:r>
          </w:p>
        </w:tc>
        <w:tc>
          <w:tcPr>
            <w:tcW w:w="849" w:type="dxa"/>
          </w:tcPr>
          <w:p w14:paraId="529E1728" w14:textId="4A50E47C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709" w:type="dxa"/>
          </w:tcPr>
          <w:p w14:paraId="7477D711" w14:textId="4E534BD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 (25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00C074E8" w14:textId="3BA75FA4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14,7–37,9</w:t>
            </w:r>
          </w:p>
        </w:tc>
        <w:tc>
          <w:tcPr>
            <w:tcW w:w="733" w:type="dxa"/>
          </w:tcPr>
          <w:p w14:paraId="75DD089E" w14:textId="7E6062F6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</w:t>
            </w:r>
          </w:p>
        </w:tc>
        <w:tc>
          <w:tcPr>
            <w:tcW w:w="684" w:type="dxa"/>
          </w:tcPr>
          <w:p w14:paraId="3482A0DC" w14:textId="6D2D7D7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5 (8,3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436F9C3C" w14:textId="5023E65C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2,8–18,4</w:t>
            </w:r>
          </w:p>
        </w:tc>
        <w:tc>
          <w:tcPr>
            <w:tcW w:w="592" w:type="dxa"/>
          </w:tcPr>
          <w:p w14:paraId="220F3446" w14:textId="40F97CFD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7</w:t>
            </w:r>
          </w:p>
        </w:tc>
      </w:tr>
      <w:tr w:rsidR="00863088" w:rsidRPr="00CE6FBA" w14:paraId="317B130E" w14:textId="3C5524B7" w:rsidTr="004262AE">
        <w:trPr>
          <w:trHeight w:val="284"/>
        </w:trPr>
        <w:tc>
          <w:tcPr>
            <w:tcW w:w="1980" w:type="dxa"/>
            <w:shd w:val="clear" w:color="auto" w:fill="D9D9D9" w:themeFill="background1" w:themeFillShade="D9"/>
          </w:tcPr>
          <w:p w14:paraId="518206DA" w14:textId="3F62FEF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нервной системы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4DCACA" w14:textId="31CE54D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 (25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7D7871" w14:textId="680E0C3B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14,7–37,9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7E20F285" w14:textId="4A08FA60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968F2" w14:textId="3688C18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21 (35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18EBF1B" w14:textId="4DD2D483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23,1–48,4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9EB8E74" w14:textId="3ADB7B5F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26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61EBE347" w14:textId="0407305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 (23,3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D33513B" w14:textId="2FB7D23B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13,4–36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296E5EAB" w14:textId="33E67235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</w:t>
            </w:r>
          </w:p>
        </w:tc>
      </w:tr>
      <w:tr w:rsidR="00863088" w:rsidRPr="00CE6FBA" w14:paraId="322182FF" w14:textId="0A3285F7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5996C804" w14:textId="2608EC6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Головная боль</w:t>
            </w:r>
          </w:p>
        </w:tc>
        <w:tc>
          <w:tcPr>
            <w:tcW w:w="709" w:type="dxa"/>
            <w:shd w:val="clear" w:color="auto" w:fill="auto"/>
          </w:tcPr>
          <w:p w14:paraId="088429AF" w14:textId="4DF7F50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15 (25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785C2410" w14:textId="3BDB551C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14,7–37,9</w:t>
            </w:r>
          </w:p>
        </w:tc>
        <w:tc>
          <w:tcPr>
            <w:tcW w:w="849" w:type="dxa"/>
          </w:tcPr>
          <w:p w14:paraId="43186ADF" w14:textId="328185FB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513FC516" w14:textId="4A6FCDA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20 (33,3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4D4CF1C6" w14:textId="227F75DE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21,7–46,7</w:t>
            </w:r>
          </w:p>
        </w:tc>
        <w:tc>
          <w:tcPr>
            <w:tcW w:w="733" w:type="dxa"/>
          </w:tcPr>
          <w:p w14:paraId="23821556" w14:textId="2B04E66E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24</w:t>
            </w:r>
          </w:p>
        </w:tc>
        <w:tc>
          <w:tcPr>
            <w:tcW w:w="684" w:type="dxa"/>
          </w:tcPr>
          <w:p w14:paraId="1678C4C5" w14:textId="489BC1F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14 (23,3</w:t>
            </w:r>
            <w:r w:rsidR="00DD03AC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3A086D29" w14:textId="74C83B3E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13,4–36</w:t>
            </w:r>
            <w:r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592" w:type="dxa"/>
          </w:tcPr>
          <w:p w14:paraId="4F49FEEA" w14:textId="6083C549" w:rsidR="00863088" w:rsidRPr="00CE6FBA" w:rsidRDefault="00DD03AC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17</w:t>
            </w:r>
          </w:p>
        </w:tc>
      </w:tr>
      <w:tr w:rsidR="00DD03AC" w:rsidRPr="00CE6FBA" w14:paraId="17E68FC7" w14:textId="64C53AF6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4AAB4AC6" w14:textId="7EC514D7" w:rsidR="00DD03AC" w:rsidRPr="00CE6FBA" w:rsidRDefault="00DD03AC" w:rsidP="00DD03AC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Головокружение</w:t>
            </w:r>
          </w:p>
        </w:tc>
        <w:tc>
          <w:tcPr>
            <w:tcW w:w="709" w:type="dxa"/>
            <w:shd w:val="clear" w:color="auto" w:fill="auto"/>
          </w:tcPr>
          <w:p w14:paraId="28607B7A" w14:textId="70D994CD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19E13235" w14:textId="662E6AB1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24BABCC6" w14:textId="1DBFE9A3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186DC03A" w14:textId="7FFBE63A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2 (3,3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646B189" w14:textId="7DBC2C3D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0,4–11,5</w:t>
            </w:r>
          </w:p>
        </w:tc>
        <w:tc>
          <w:tcPr>
            <w:tcW w:w="733" w:type="dxa"/>
          </w:tcPr>
          <w:p w14:paraId="563B956D" w14:textId="36FA1307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84" w:type="dxa"/>
          </w:tcPr>
          <w:p w14:paraId="457440CB" w14:textId="470C6938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5C08596E" w14:textId="422D59E4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7D73D50B" w14:textId="60DE63C8" w:rsidR="00DD03AC" w:rsidRPr="00CE6FBA" w:rsidRDefault="00DD03AC" w:rsidP="00DD03A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4C8B6F60" w14:textId="5FC0F37E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8C56EC6" w14:textId="69BD80F3" w:rsidR="00863088" w:rsidRPr="00863088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печени и желчевыводящих путей</w:t>
            </w:r>
          </w:p>
        </w:tc>
        <w:tc>
          <w:tcPr>
            <w:tcW w:w="709" w:type="dxa"/>
            <w:shd w:val="clear" w:color="auto" w:fill="auto"/>
          </w:tcPr>
          <w:p w14:paraId="4937A31C" w14:textId="0F7FF3D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6697C3A1" w14:textId="3ABB1E6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3C9F93F6" w14:textId="378AC8C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79396B" w14:textId="517A0C7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251B07E7" w14:textId="523E29D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29FB8203" w14:textId="35D7344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239CAC51" w14:textId="71530A5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226F4F40" w14:textId="19C1DF5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084A0337" w14:textId="3DA0E33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0306A950" w14:textId="1A6A11AD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1C3C8873" w14:textId="26254497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Гепатит А</w:t>
            </w:r>
          </w:p>
        </w:tc>
        <w:tc>
          <w:tcPr>
            <w:tcW w:w="709" w:type="dxa"/>
            <w:shd w:val="clear" w:color="auto" w:fill="auto"/>
          </w:tcPr>
          <w:p w14:paraId="594B5DB2" w14:textId="1FE6946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0BD43D65" w14:textId="6BD8E53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849" w:type="dxa"/>
          </w:tcPr>
          <w:p w14:paraId="70FAA1A0" w14:textId="7ADDB9E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565F2A" w14:textId="67AD7AF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51DB132C" w14:textId="05522F8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08B80D0E" w14:textId="3CF69F9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7B8D9E81" w14:textId="7A7378A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2" w:type="dxa"/>
          </w:tcPr>
          <w:p w14:paraId="6C3734BC" w14:textId="3AE9CE4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592" w:type="dxa"/>
          </w:tcPr>
          <w:p w14:paraId="7234D244" w14:textId="369A770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</w:tr>
      <w:tr w:rsidR="00863088" w:rsidRPr="00CE6FBA" w14:paraId="3E6BCC3C" w14:textId="6F737249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DBDB1E0" w14:textId="5A9BCD71" w:rsidR="00863088" w:rsidRPr="004262AE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почек и мочевыводящих путей</w:t>
            </w:r>
          </w:p>
        </w:tc>
        <w:tc>
          <w:tcPr>
            <w:tcW w:w="709" w:type="dxa"/>
            <w:shd w:val="clear" w:color="auto" w:fill="auto"/>
          </w:tcPr>
          <w:p w14:paraId="715DD5A8" w14:textId="078C361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14E8978E" w14:textId="2904FE6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4E72640E" w14:textId="3F9FB52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37DA94D4" w14:textId="75B2B49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03396642" w14:textId="63C7370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0EDA3781" w14:textId="6C972C0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578C5A29" w14:textId="1EDA359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9675B1D" w14:textId="3446132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AF456D4" w14:textId="7F5AB03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633D6D96" w14:textId="4AB3C3AE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4886DE82" w14:textId="2F368BBE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Протеинурия</w:t>
            </w:r>
          </w:p>
        </w:tc>
        <w:tc>
          <w:tcPr>
            <w:tcW w:w="709" w:type="dxa"/>
            <w:shd w:val="clear" w:color="auto" w:fill="auto"/>
          </w:tcPr>
          <w:p w14:paraId="7912EA5A" w14:textId="0E38A9F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4B47868E" w14:textId="2EDD99C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5239C0B9" w14:textId="0661962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65B589AF" w14:textId="18C2D81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50A8D2F8" w14:textId="05E7FC4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0644169B" w14:textId="2FC65CE1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006FFCAF" w14:textId="65F358F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E78A6F6" w14:textId="43A8300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6D66BAAE" w14:textId="2648516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75A94A56" w14:textId="1914A890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4D14F346" w14:textId="30272B45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Нарушения со стороны сердца</w:t>
            </w:r>
          </w:p>
        </w:tc>
        <w:tc>
          <w:tcPr>
            <w:tcW w:w="709" w:type="dxa"/>
            <w:shd w:val="clear" w:color="auto" w:fill="auto"/>
          </w:tcPr>
          <w:p w14:paraId="37C59E0B" w14:textId="51D4447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6B768F25" w14:textId="5753A76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7000AD2D" w14:textId="3F4A0544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334CEF21" w14:textId="6C7BEE8E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0D08CB26" w14:textId="697BBB77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66194FB0" w14:textId="4AD3A41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297E8461" w14:textId="7929678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32DF1EBC" w14:textId="447602C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48935FD3" w14:textId="7E5590F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450A3E77" w14:textId="58CFEE61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7A95C1EB" w14:textId="2BF34EEA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Тахикардия</w:t>
            </w:r>
          </w:p>
        </w:tc>
        <w:tc>
          <w:tcPr>
            <w:tcW w:w="709" w:type="dxa"/>
            <w:shd w:val="clear" w:color="auto" w:fill="auto"/>
          </w:tcPr>
          <w:p w14:paraId="5E3D5E2A" w14:textId="6FE7F3DF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48BD623E" w14:textId="3083AEE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615B7E35" w14:textId="46DA3F6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73524C98" w14:textId="111E0A4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5A79709A" w14:textId="487C722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1AC69E45" w14:textId="6934E6E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37514D2B" w14:textId="55FB712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19940A86" w14:textId="2A31BDF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3BF8D914" w14:textId="5152694D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64458B69" w14:textId="54ACA5F0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0B785446" w14:textId="17FEFB17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Психические расстройства</w:t>
            </w:r>
          </w:p>
        </w:tc>
        <w:tc>
          <w:tcPr>
            <w:tcW w:w="709" w:type="dxa"/>
            <w:shd w:val="clear" w:color="auto" w:fill="auto"/>
          </w:tcPr>
          <w:p w14:paraId="2245B1B0" w14:textId="00784FA6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4713ECC2" w14:textId="22943A9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0B1703CB" w14:textId="2B97AD6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66BE5F83" w14:textId="58C2245C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11124FCB" w14:textId="2AF9BCB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6B013A3B" w14:textId="49CA2D9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306315BC" w14:textId="1C6EA8A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A63310A" w14:textId="5C48F20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7E66C193" w14:textId="7579A47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  <w:tr w:rsidR="00863088" w:rsidRPr="00CE6FBA" w14:paraId="319870C4" w14:textId="471D18FE" w:rsidTr="004262AE">
        <w:trPr>
          <w:trHeight w:val="284"/>
        </w:trPr>
        <w:tc>
          <w:tcPr>
            <w:tcW w:w="1980" w:type="dxa"/>
            <w:shd w:val="clear" w:color="auto" w:fill="auto"/>
          </w:tcPr>
          <w:p w14:paraId="5B022B3C" w14:textId="5EB6704C" w:rsidR="00863088" w:rsidRPr="00CE6FBA" w:rsidRDefault="00863088" w:rsidP="00863088">
            <w:pPr>
              <w:widowControl w:val="0"/>
              <w:suppressAutoHyphens/>
              <w:rPr>
                <w:bCs/>
                <w:sz w:val="24"/>
                <w:szCs w:val="28"/>
                <w:lang w:eastAsia="ja-JP"/>
              </w:rPr>
            </w:pPr>
            <w:r w:rsidRPr="00CE6FBA">
              <w:rPr>
                <w:bCs/>
                <w:sz w:val="24"/>
                <w:szCs w:val="28"/>
                <w:lang w:eastAsia="ja-JP"/>
              </w:rPr>
              <w:t>Амнезия</w:t>
            </w:r>
          </w:p>
        </w:tc>
        <w:tc>
          <w:tcPr>
            <w:tcW w:w="709" w:type="dxa"/>
            <w:shd w:val="clear" w:color="auto" w:fill="auto"/>
          </w:tcPr>
          <w:p w14:paraId="7D4192CE" w14:textId="7959089A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993" w:type="dxa"/>
          </w:tcPr>
          <w:p w14:paraId="4C7DC31A" w14:textId="67ABED29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849" w:type="dxa"/>
          </w:tcPr>
          <w:p w14:paraId="505CD1F9" w14:textId="49B6296B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57A9EC42" w14:textId="653606B5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1133" w:type="dxa"/>
          </w:tcPr>
          <w:p w14:paraId="3E2099F7" w14:textId="64AC4B68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733" w:type="dxa"/>
          </w:tcPr>
          <w:p w14:paraId="608AB230" w14:textId="40D5C61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–</w:t>
            </w:r>
          </w:p>
        </w:tc>
        <w:tc>
          <w:tcPr>
            <w:tcW w:w="684" w:type="dxa"/>
          </w:tcPr>
          <w:p w14:paraId="2CD990E5" w14:textId="77411FE3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1 (1,7</w:t>
            </w:r>
            <w:r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1132" w:type="dxa"/>
          </w:tcPr>
          <w:p w14:paraId="22B96035" w14:textId="187146B2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CE6FBA">
              <w:rPr>
                <w:bCs/>
                <w:sz w:val="24"/>
                <w:szCs w:val="28"/>
              </w:rPr>
              <w:t>0–8,9</w:t>
            </w:r>
          </w:p>
        </w:tc>
        <w:tc>
          <w:tcPr>
            <w:tcW w:w="592" w:type="dxa"/>
          </w:tcPr>
          <w:p w14:paraId="42549407" w14:textId="4CB1DEA0" w:rsidR="00863088" w:rsidRPr="00CE6FBA" w:rsidRDefault="00863088" w:rsidP="0086308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</w:tr>
    </w:tbl>
    <w:p w14:paraId="402AE54C" w14:textId="51C886B4" w:rsidR="000C4A56" w:rsidRPr="00CE6FBA" w:rsidRDefault="000C4A56" w:rsidP="002821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FBA">
        <w:rPr>
          <w:rFonts w:ascii="Times New Roman" w:hAnsi="Times New Roman" w:cs="Times New Roman"/>
          <w:sz w:val="24"/>
          <w:szCs w:val="24"/>
        </w:rPr>
        <w:t>Примечание</w:t>
      </w:r>
      <w:r w:rsidR="00A81C76">
        <w:rPr>
          <w:rFonts w:ascii="Times New Roman" w:hAnsi="Times New Roman" w:cs="Times New Roman"/>
          <w:sz w:val="24"/>
          <w:szCs w:val="24"/>
        </w:rPr>
        <w:t>.</w:t>
      </w:r>
      <w:r w:rsidRPr="00CE6FBA">
        <w:rPr>
          <w:rFonts w:ascii="Times New Roman" w:hAnsi="Times New Roman" w:cs="Times New Roman"/>
          <w:sz w:val="24"/>
          <w:szCs w:val="24"/>
        </w:rPr>
        <w:t xml:space="preserve"> N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 xml:space="preserve">количество добровольцев в популяции для анализа безопасности; </w:t>
      </w:r>
      <w:r w:rsidRPr="004262A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 xml:space="preserve">количество добровольцев с наличием НЯ. Проценты рассчитаны как 100 </w:t>
      </w:r>
      <w:r w:rsidR="004262AE">
        <w:rPr>
          <w:rFonts w:ascii="Times New Roman" w:hAnsi="Times New Roman" w:cs="Times New Roman"/>
          <w:sz w:val="24"/>
          <w:szCs w:val="24"/>
        </w:rPr>
        <w:t>×</w:t>
      </w:r>
      <w:r w:rsidRPr="00CE6FBA">
        <w:rPr>
          <w:rFonts w:ascii="Times New Roman" w:hAnsi="Times New Roman" w:cs="Times New Roman"/>
          <w:sz w:val="24"/>
          <w:szCs w:val="24"/>
        </w:rPr>
        <w:t xml:space="preserve"> (n/N)</w:t>
      </w:r>
      <w:r w:rsidR="00C66E43">
        <w:rPr>
          <w:rFonts w:ascii="Times New Roman" w:hAnsi="Times New Roman" w:cs="Times New Roman"/>
          <w:sz w:val="24"/>
          <w:szCs w:val="24"/>
        </w:rPr>
        <w:t>.</w:t>
      </w:r>
      <w:r w:rsidRPr="00CE6FBA">
        <w:rPr>
          <w:rFonts w:ascii="Times New Roman" w:hAnsi="Times New Roman" w:cs="Times New Roman"/>
          <w:sz w:val="24"/>
          <w:szCs w:val="24"/>
        </w:rPr>
        <w:t xml:space="preserve"> E</w:t>
      </w:r>
      <w:r w:rsidR="00CE6FBA">
        <w:rPr>
          <w:rFonts w:ascii="Times New Roman" w:hAnsi="Times New Roman" w:cs="Times New Roman"/>
          <w:sz w:val="24"/>
          <w:szCs w:val="24"/>
        </w:rPr>
        <w:t xml:space="preserve"> — </w:t>
      </w:r>
      <w:r w:rsidRPr="00CE6FBA">
        <w:rPr>
          <w:rFonts w:ascii="Times New Roman" w:hAnsi="Times New Roman" w:cs="Times New Roman"/>
          <w:sz w:val="24"/>
          <w:szCs w:val="24"/>
        </w:rPr>
        <w:t xml:space="preserve">количество НЯ; доверительные интервалы рассчитаны по методу </w:t>
      </w:r>
      <w:proofErr w:type="spellStart"/>
      <w:r w:rsidRPr="00CE6FBA">
        <w:rPr>
          <w:rFonts w:ascii="Times New Roman" w:hAnsi="Times New Roman" w:cs="Times New Roman"/>
          <w:sz w:val="24"/>
          <w:szCs w:val="24"/>
        </w:rPr>
        <w:t>Клоппера</w:t>
      </w:r>
      <w:proofErr w:type="spellEnd"/>
      <w:r w:rsidR="00C66E43">
        <w:rPr>
          <w:rFonts w:ascii="Times New Roman" w:hAnsi="Times New Roman" w:cs="Times New Roman"/>
          <w:sz w:val="24"/>
          <w:szCs w:val="24"/>
        </w:rPr>
        <w:t>–</w:t>
      </w:r>
      <w:r w:rsidRPr="00CE6FBA">
        <w:rPr>
          <w:rFonts w:ascii="Times New Roman" w:hAnsi="Times New Roman" w:cs="Times New Roman"/>
          <w:sz w:val="24"/>
          <w:szCs w:val="24"/>
        </w:rPr>
        <w:t>Пирсона</w:t>
      </w:r>
      <w:r w:rsidR="00C66E43">
        <w:rPr>
          <w:rFonts w:ascii="Times New Roman" w:hAnsi="Times New Roman" w:cs="Times New Roman"/>
          <w:sz w:val="24"/>
          <w:szCs w:val="24"/>
        </w:rPr>
        <w:t>.</w:t>
      </w:r>
    </w:p>
    <w:sectPr w:rsidR="000C4A56" w:rsidRPr="00CE6FBA" w:rsidSect="00CE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5A"/>
    <w:rsid w:val="000C4A56"/>
    <w:rsid w:val="000E4D8E"/>
    <w:rsid w:val="00144EB5"/>
    <w:rsid w:val="001E17EF"/>
    <w:rsid w:val="00282136"/>
    <w:rsid w:val="00335605"/>
    <w:rsid w:val="00357F23"/>
    <w:rsid w:val="003F62C0"/>
    <w:rsid w:val="004262AE"/>
    <w:rsid w:val="004D025A"/>
    <w:rsid w:val="004D3A6E"/>
    <w:rsid w:val="004D66CA"/>
    <w:rsid w:val="00591D30"/>
    <w:rsid w:val="005A516C"/>
    <w:rsid w:val="0065109F"/>
    <w:rsid w:val="00851C69"/>
    <w:rsid w:val="00863088"/>
    <w:rsid w:val="008C4B63"/>
    <w:rsid w:val="009B65E3"/>
    <w:rsid w:val="00A81C76"/>
    <w:rsid w:val="00B64598"/>
    <w:rsid w:val="00B645AC"/>
    <w:rsid w:val="00BB6E04"/>
    <w:rsid w:val="00BD472C"/>
    <w:rsid w:val="00C364C8"/>
    <w:rsid w:val="00C66E43"/>
    <w:rsid w:val="00CE471A"/>
    <w:rsid w:val="00CE6FBA"/>
    <w:rsid w:val="00D46E8D"/>
    <w:rsid w:val="00DD03AC"/>
    <w:rsid w:val="00EC71B9"/>
    <w:rsid w:val="00F01342"/>
    <w:rsid w:val="00F14DA7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B6AE"/>
  <w15:docId w15:val="{02139CAC-38D4-41C6-8697-9341E84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0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7</Pages>
  <Words>1447</Words>
  <Characters>9237</Characters>
  <Application>Microsoft Office Word</Application>
  <DocSecurity>0</DocSecurity>
  <Lines>279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Устинкова Ольга</cp:lastModifiedBy>
  <cp:revision>10</cp:revision>
  <dcterms:created xsi:type="dcterms:W3CDTF">2025-04-29T07:58:00Z</dcterms:created>
  <dcterms:modified xsi:type="dcterms:W3CDTF">2025-05-04T06:45:00Z</dcterms:modified>
</cp:coreProperties>
</file>